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B8B" w:rsidRPr="00FD166F" w:rsidRDefault="00021B8B" w:rsidP="00021B8B">
      <w:pPr>
        <w:tabs>
          <w:tab w:val="left" w:pos="7920"/>
        </w:tabs>
        <w:rPr>
          <w:rFonts w:ascii="Arial" w:hAnsi="Arial" w:cs="Arial"/>
          <w:b/>
        </w:rPr>
      </w:pPr>
      <w:r>
        <w:rPr>
          <w:rFonts w:ascii="Arial" w:hAnsi="Arial" w:cs="Arial"/>
          <w:b/>
          <w:lang w:val="de-DE"/>
        </w:rPr>
        <w:t xml:space="preserve">3GPP </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#9</w:t>
      </w:r>
      <w:r w:rsidR="00E73AB5">
        <w:rPr>
          <w:rFonts w:ascii="Arial" w:hAnsi="Arial" w:cs="Arial"/>
          <w:b/>
          <w:lang w:val="de-DE"/>
        </w:rPr>
        <w:t>2</w:t>
      </w:r>
      <w:r>
        <w:rPr>
          <w:rFonts w:ascii="Arial" w:hAnsi="Arial" w:cs="Arial"/>
          <w:b/>
          <w:lang w:val="de-DE"/>
        </w:rPr>
        <w:tab/>
      </w:r>
      <w:r w:rsidRPr="00625E22">
        <w:rPr>
          <w:rFonts w:ascii="Arial" w:hAnsi="Arial" w:cs="Arial"/>
          <w:b/>
          <w:lang w:val="de-DE"/>
        </w:rPr>
        <w:t>R4-1</w:t>
      </w:r>
      <w:r>
        <w:rPr>
          <w:rFonts w:ascii="Arial" w:hAnsi="Arial" w:cs="Arial"/>
          <w:b/>
          <w:lang w:val="de-DE"/>
        </w:rPr>
        <w:t>90</w:t>
      </w:r>
      <w:r w:rsidR="006C04A7">
        <w:rPr>
          <w:rFonts w:ascii="Arial" w:hAnsi="Arial" w:cs="Arial"/>
          <w:b/>
          <w:lang w:val="de-DE"/>
        </w:rPr>
        <w:t>9934</w:t>
      </w:r>
      <w:r>
        <w:rPr>
          <w:rFonts w:ascii="Arial" w:hAnsi="Arial" w:cs="Arial"/>
          <w:b/>
          <w:lang w:val="de-DE"/>
        </w:rPr>
        <w:br/>
      </w:r>
      <w:r w:rsidR="00800603">
        <w:rPr>
          <w:rFonts w:ascii="Arial" w:hAnsi="Arial" w:cs="Arial"/>
          <w:b/>
        </w:rPr>
        <w:t>Ljubljana</w:t>
      </w:r>
      <w:r>
        <w:rPr>
          <w:rFonts w:ascii="Arial" w:hAnsi="Arial" w:cs="Arial"/>
          <w:b/>
        </w:rPr>
        <w:t xml:space="preserve">, </w:t>
      </w:r>
      <w:r w:rsidR="00E73AB5">
        <w:rPr>
          <w:rFonts w:ascii="Arial" w:hAnsi="Arial" w:cs="Arial"/>
          <w:b/>
        </w:rPr>
        <w:t>Slovenia</w:t>
      </w:r>
      <w:r>
        <w:rPr>
          <w:rFonts w:ascii="Arial" w:hAnsi="Arial" w:cs="Arial"/>
          <w:b/>
        </w:rPr>
        <w:t xml:space="preserve">, </w:t>
      </w:r>
      <w:r w:rsidR="00E73AB5">
        <w:rPr>
          <w:rFonts w:ascii="Arial" w:hAnsi="Arial" w:cs="Arial"/>
          <w:b/>
        </w:rPr>
        <w:t>August</w:t>
      </w:r>
      <w:r>
        <w:rPr>
          <w:rFonts w:ascii="Arial" w:hAnsi="Arial" w:cs="Arial"/>
          <w:b/>
        </w:rPr>
        <w:t xml:space="preserve"> </w:t>
      </w:r>
      <w:r w:rsidR="00E73AB5">
        <w:rPr>
          <w:rFonts w:ascii="Arial" w:hAnsi="Arial" w:cs="Arial"/>
          <w:b/>
        </w:rPr>
        <w:t>26</w:t>
      </w:r>
      <w:r>
        <w:rPr>
          <w:rFonts w:ascii="Arial" w:hAnsi="Arial" w:cs="Arial"/>
          <w:b/>
        </w:rPr>
        <w:t xml:space="preserve"> – </w:t>
      </w:r>
      <w:r w:rsidR="00E73AB5">
        <w:rPr>
          <w:rFonts w:ascii="Arial" w:hAnsi="Arial" w:cs="Arial"/>
          <w:b/>
        </w:rPr>
        <w:t>30</w:t>
      </w:r>
      <w:r>
        <w:rPr>
          <w:rFonts w:ascii="Arial" w:hAnsi="Arial" w:cs="Arial"/>
          <w:b/>
        </w:rPr>
        <w:t>, 2019</w:t>
      </w:r>
    </w:p>
    <w:p w:rsidR="00021B8B" w:rsidRDefault="00021B8B" w:rsidP="00021B8B">
      <w:pPr>
        <w:tabs>
          <w:tab w:val="left" w:pos="2160"/>
        </w:tabs>
        <w:rPr>
          <w:rFonts w:ascii="Arial" w:hAnsi="Arial" w:cs="Arial"/>
          <w:b/>
        </w:rPr>
      </w:pPr>
    </w:p>
    <w:p w:rsidR="00021B8B" w:rsidRPr="0008103A" w:rsidRDefault="00021B8B" w:rsidP="00021B8B">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4101B0">
        <w:rPr>
          <w:rFonts w:ascii="Arial" w:hAnsi="Arial" w:cs="Arial"/>
          <w:b/>
        </w:rPr>
        <w:t>1</w:t>
      </w:r>
      <w:r w:rsidR="00DB1840">
        <w:rPr>
          <w:rFonts w:ascii="Arial" w:hAnsi="Arial" w:cs="Arial"/>
          <w:b/>
        </w:rPr>
        <w:t>1</w:t>
      </w:r>
      <w:r w:rsidRPr="00D428D1">
        <w:rPr>
          <w:rFonts w:ascii="Arial" w:hAnsi="Arial" w:cs="Arial"/>
          <w:b/>
        </w:rPr>
        <w:t>.</w:t>
      </w:r>
      <w:r w:rsidR="00DB1840">
        <w:rPr>
          <w:rFonts w:ascii="Arial" w:hAnsi="Arial" w:cs="Arial"/>
          <w:b/>
        </w:rPr>
        <w:t>1</w:t>
      </w:r>
      <w:r w:rsidRPr="00D428D1">
        <w:rPr>
          <w:rFonts w:ascii="Arial" w:hAnsi="Arial" w:cs="Arial"/>
          <w:b/>
        </w:rPr>
        <w:t>.</w:t>
      </w:r>
      <w:r w:rsidR="004101B0">
        <w:rPr>
          <w:rFonts w:ascii="Arial" w:hAnsi="Arial" w:cs="Arial"/>
          <w:b/>
        </w:rPr>
        <w:t>2</w:t>
      </w:r>
    </w:p>
    <w:p w:rsidR="00021B8B" w:rsidRPr="0008103A" w:rsidRDefault="00021B8B" w:rsidP="00021B8B">
      <w:pPr>
        <w:tabs>
          <w:tab w:val="left" w:pos="2160"/>
        </w:tabs>
        <w:rPr>
          <w:rFonts w:ascii="Arial" w:hAnsi="Arial" w:cs="Arial"/>
          <w:b/>
        </w:rPr>
      </w:pPr>
      <w:r>
        <w:rPr>
          <w:rFonts w:ascii="Arial" w:hAnsi="Arial" w:cs="Arial"/>
          <w:b/>
        </w:rPr>
        <w:t>Source:</w:t>
      </w:r>
      <w:r>
        <w:rPr>
          <w:rFonts w:ascii="Arial" w:hAnsi="Arial" w:cs="Arial"/>
          <w:b/>
        </w:rPr>
        <w:tab/>
        <w:t>Intel Corporation</w:t>
      </w:r>
    </w:p>
    <w:p w:rsidR="00021B8B" w:rsidRPr="00756545" w:rsidRDefault="00021B8B" w:rsidP="00021B8B">
      <w:pPr>
        <w:tabs>
          <w:tab w:val="left" w:pos="2160"/>
        </w:tabs>
        <w:ind w:left="2160" w:hanging="2160"/>
        <w:rPr>
          <w:rFonts w:ascii="Arial" w:hAnsi="Arial" w:cs="Arial"/>
          <w:b/>
        </w:rPr>
      </w:pPr>
      <w:r w:rsidRPr="0008103A">
        <w:rPr>
          <w:rFonts w:ascii="Arial" w:hAnsi="Arial" w:cs="Arial"/>
          <w:b/>
        </w:rPr>
        <w:t>Title:</w:t>
      </w:r>
      <w:r w:rsidRPr="0008103A">
        <w:rPr>
          <w:rFonts w:ascii="Arial" w:hAnsi="Arial" w:cs="Arial"/>
          <w:b/>
        </w:rPr>
        <w:tab/>
      </w:r>
      <w:r w:rsidR="00FE1594" w:rsidRPr="00756545">
        <w:rPr>
          <w:rFonts w:ascii="Arial" w:hAnsi="Arial" w:cs="Arial"/>
          <w:b/>
        </w:rPr>
        <w:t>FR2 p</w:t>
      </w:r>
      <w:r w:rsidR="007745CB" w:rsidRPr="00756545">
        <w:rPr>
          <w:rFonts w:ascii="Arial" w:hAnsi="Arial" w:cs="Arial"/>
          <w:b/>
        </w:rPr>
        <w:t>ower classes</w:t>
      </w:r>
      <w:r w:rsidR="000F34D1" w:rsidRPr="00756545">
        <w:rPr>
          <w:rFonts w:ascii="Arial" w:hAnsi="Arial" w:cs="Arial"/>
          <w:b/>
        </w:rPr>
        <w:t xml:space="preserve"> and UE type considerations</w:t>
      </w:r>
      <w:r w:rsidR="0005761A" w:rsidRPr="00756545">
        <w:rPr>
          <w:rFonts w:ascii="Arial" w:hAnsi="Arial" w:cs="Arial"/>
          <w:b/>
        </w:rPr>
        <w:t xml:space="preserve"> in test methods</w:t>
      </w:r>
    </w:p>
    <w:p w:rsidR="00021B8B" w:rsidRPr="00756545" w:rsidRDefault="00021B8B" w:rsidP="00021B8B">
      <w:pPr>
        <w:tabs>
          <w:tab w:val="left" w:pos="2160"/>
        </w:tabs>
        <w:rPr>
          <w:rFonts w:ascii="Arial" w:hAnsi="Arial" w:cs="Arial"/>
          <w:b/>
        </w:rPr>
      </w:pPr>
      <w:r w:rsidRPr="00756545">
        <w:rPr>
          <w:rFonts w:ascii="Arial" w:hAnsi="Arial" w:cs="Arial"/>
          <w:b/>
        </w:rPr>
        <w:t>Document for:</w:t>
      </w:r>
      <w:r w:rsidRPr="00756545">
        <w:rPr>
          <w:rFonts w:ascii="Arial" w:hAnsi="Arial" w:cs="Arial"/>
          <w:b/>
        </w:rPr>
        <w:tab/>
      </w:r>
      <w:r w:rsidR="000F34D1" w:rsidRPr="00756545">
        <w:rPr>
          <w:rFonts w:ascii="Arial" w:hAnsi="Arial" w:cs="Arial"/>
          <w:b/>
        </w:rPr>
        <w:t>Approval</w:t>
      </w:r>
    </w:p>
    <w:p w:rsidR="00021B8B" w:rsidRPr="007E5C9D" w:rsidRDefault="00021B8B" w:rsidP="00021B8B">
      <w:pPr>
        <w:pStyle w:val="Heading1"/>
        <w:rPr>
          <w:lang w:val="en-US"/>
        </w:rPr>
      </w:pPr>
      <w:r w:rsidRPr="007E5C9D">
        <w:rPr>
          <w:lang w:val="en-US"/>
        </w:rPr>
        <w:t>Introduction</w:t>
      </w:r>
    </w:p>
    <w:p w:rsidR="00951093" w:rsidRDefault="00BF21F4" w:rsidP="00DC3469">
      <w:pPr>
        <w:jc w:val="both"/>
        <w:rPr>
          <w:sz w:val="20"/>
          <w:szCs w:val="20"/>
        </w:rPr>
      </w:pPr>
      <w:r>
        <w:rPr>
          <w:sz w:val="20"/>
          <w:szCs w:val="20"/>
        </w:rPr>
        <w:t>FR2 p</w:t>
      </w:r>
      <w:r w:rsidR="00951093">
        <w:rPr>
          <w:sz w:val="20"/>
          <w:szCs w:val="20"/>
        </w:rPr>
        <w:t xml:space="preserve">ower </w:t>
      </w:r>
      <w:r w:rsidR="00AF1FAB">
        <w:rPr>
          <w:sz w:val="20"/>
          <w:szCs w:val="20"/>
        </w:rPr>
        <w:t>requirement</w:t>
      </w:r>
      <w:r w:rsidR="00951093">
        <w:rPr>
          <w:sz w:val="20"/>
          <w:szCs w:val="20"/>
        </w:rPr>
        <w:t xml:space="preserve"> discussions </w:t>
      </w:r>
      <w:r>
        <w:rPr>
          <w:sz w:val="20"/>
          <w:szCs w:val="20"/>
        </w:rPr>
        <w:t xml:space="preserve">were </w:t>
      </w:r>
      <w:r w:rsidR="00951093">
        <w:rPr>
          <w:sz w:val="20"/>
          <w:szCs w:val="20"/>
        </w:rPr>
        <w:t>first focused on handheld devices</w:t>
      </w:r>
      <w:r w:rsidR="0005761A">
        <w:rPr>
          <w:sz w:val="20"/>
          <w:szCs w:val="20"/>
        </w:rPr>
        <w:t xml:space="preserve"> only</w:t>
      </w:r>
      <w:r w:rsidR="00951093">
        <w:rPr>
          <w:sz w:val="20"/>
          <w:szCs w:val="20"/>
        </w:rPr>
        <w:t xml:space="preserve">. </w:t>
      </w:r>
      <w:r>
        <w:rPr>
          <w:sz w:val="20"/>
          <w:szCs w:val="20"/>
        </w:rPr>
        <w:t>F</w:t>
      </w:r>
      <w:r w:rsidR="00951093">
        <w:rPr>
          <w:sz w:val="20"/>
          <w:szCs w:val="20"/>
        </w:rPr>
        <w:t>ixed wireless access (FWA) devices</w:t>
      </w:r>
      <w:r w:rsidR="0005761A">
        <w:rPr>
          <w:sz w:val="20"/>
          <w:szCs w:val="20"/>
        </w:rPr>
        <w:t xml:space="preserve"> later</w:t>
      </w:r>
      <w:r w:rsidR="00951093">
        <w:rPr>
          <w:sz w:val="20"/>
          <w:szCs w:val="20"/>
        </w:rPr>
        <w:t xml:space="preserve"> </w:t>
      </w:r>
      <w:r>
        <w:rPr>
          <w:sz w:val="20"/>
          <w:szCs w:val="20"/>
        </w:rPr>
        <w:t xml:space="preserve">followed </w:t>
      </w:r>
      <w:r w:rsidR="00951093">
        <w:rPr>
          <w:sz w:val="20"/>
          <w:szCs w:val="20"/>
        </w:rPr>
        <w:t xml:space="preserve">and </w:t>
      </w:r>
      <w:r>
        <w:rPr>
          <w:sz w:val="20"/>
          <w:szCs w:val="20"/>
        </w:rPr>
        <w:t>were approv</w:t>
      </w:r>
      <w:r w:rsidR="00951093">
        <w:rPr>
          <w:sz w:val="20"/>
          <w:szCs w:val="20"/>
        </w:rPr>
        <w:t xml:space="preserve">ed to be further </w:t>
      </w:r>
      <w:r w:rsidR="0005761A">
        <w:rPr>
          <w:sz w:val="20"/>
          <w:szCs w:val="20"/>
        </w:rPr>
        <w:t>studi</w:t>
      </w:r>
      <w:r w:rsidR="00951093">
        <w:rPr>
          <w:sz w:val="20"/>
          <w:szCs w:val="20"/>
        </w:rPr>
        <w:t xml:space="preserve">ed [1]. </w:t>
      </w:r>
      <w:r>
        <w:rPr>
          <w:sz w:val="20"/>
          <w:szCs w:val="20"/>
        </w:rPr>
        <w:t>For both minimum peak EIRP and spherical coverage, i</w:t>
      </w:r>
      <w:r w:rsidR="00951093">
        <w:rPr>
          <w:sz w:val="20"/>
          <w:szCs w:val="20"/>
        </w:rPr>
        <w:t xml:space="preserve">t was </w:t>
      </w:r>
      <w:r>
        <w:rPr>
          <w:sz w:val="20"/>
          <w:szCs w:val="20"/>
        </w:rPr>
        <w:t>evident</w:t>
      </w:r>
      <w:r w:rsidR="00951093">
        <w:rPr>
          <w:sz w:val="20"/>
          <w:szCs w:val="20"/>
        </w:rPr>
        <w:t xml:space="preserve"> that the expected performance from FWA devices was different than </w:t>
      </w:r>
      <w:r w:rsidR="008D2E15">
        <w:rPr>
          <w:sz w:val="20"/>
          <w:szCs w:val="20"/>
        </w:rPr>
        <w:t xml:space="preserve">that of </w:t>
      </w:r>
      <w:r w:rsidR="00951093">
        <w:rPr>
          <w:sz w:val="20"/>
          <w:szCs w:val="20"/>
        </w:rPr>
        <w:t>handheld devices.</w:t>
      </w:r>
    </w:p>
    <w:p w:rsidR="00951093" w:rsidRDefault="00951093" w:rsidP="00DC3469">
      <w:pPr>
        <w:jc w:val="both"/>
        <w:rPr>
          <w:sz w:val="20"/>
          <w:szCs w:val="20"/>
        </w:rPr>
      </w:pPr>
    </w:p>
    <w:p w:rsidR="00951093" w:rsidRDefault="00BF21F4" w:rsidP="00DC3469">
      <w:pPr>
        <w:jc w:val="both"/>
        <w:rPr>
          <w:sz w:val="20"/>
          <w:szCs w:val="20"/>
        </w:rPr>
      </w:pPr>
      <w:r>
        <w:rPr>
          <w:sz w:val="20"/>
          <w:szCs w:val="20"/>
        </w:rPr>
        <w:t>In</w:t>
      </w:r>
      <w:r w:rsidR="00E60561">
        <w:rPr>
          <w:sz w:val="20"/>
          <w:szCs w:val="20"/>
        </w:rPr>
        <w:t xml:space="preserve"> the </w:t>
      </w:r>
      <w:r w:rsidR="00951093">
        <w:rPr>
          <w:sz w:val="20"/>
          <w:szCs w:val="20"/>
        </w:rPr>
        <w:t>RAN4 #86bis</w:t>
      </w:r>
      <w:r w:rsidR="00E60561">
        <w:rPr>
          <w:sz w:val="20"/>
          <w:szCs w:val="20"/>
        </w:rPr>
        <w:t xml:space="preserve"> meeting</w:t>
      </w:r>
      <w:r w:rsidR="00951093">
        <w:rPr>
          <w:sz w:val="20"/>
          <w:szCs w:val="20"/>
        </w:rPr>
        <w:t xml:space="preserve">, companies expressed interest in </w:t>
      </w:r>
      <w:r>
        <w:rPr>
          <w:sz w:val="20"/>
          <w:szCs w:val="20"/>
        </w:rPr>
        <w:t>new</w:t>
      </w:r>
      <w:r w:rsidR="00951093">
        <w:rPr>
          <w:sz w:val="20"/>
          <w:szCs w:val="20"/>
        </w:rPr>
        <w:t xml:space="preserve"> UE types not yet</w:t>
      </w:r>
      <w:r w:rsidR="005C5BFE">
        <w:rPr>
          <w:sz w:val="20"/>
          <w:szCs w:val="20"/>
        </w:rPr>
        <w:t xml:space="preserve"> </w:t>
      </w:r>
      <w:r w:rsidR="00951093">
        <w:rPr>
          <w:sz w:val="20"/>
          <w:szCs w:val="20"/>
        </w:rPr>
        <w:t>discussed</w:t>
      </w:r>
      <w:r w:rsidR="005C5BFE">
        <w:rPr>
          <w:sz w:val="20"/>
          <w:szCs w:val="20"/>
        </w:rPr>
        <w:t xml:space="preserve">. </w:t>
      </w:r>
      <w:r>
        <w:rPr>
          <w:sz w:val="20"/>
          <w:szCs w:val="20"/>
        </w:rPr>
        <w:t>A</w:t>
      </w:r>
      <w:r w:rsidR="0005761A">
        <w:rPr>
          <w:sz w:val="20"/>
          <w:szCs w:val="20"/>
        </w:rPr>
        <w:t>fter</w:t>
      </w:r>
      <w:r>
        <w:rPr>
          <w:sz w:val="20"/>
          <w:szCs w:val="20"/>
        </w:rPr>
        <w:t xml:space="preserve"> </w:t>
      </w:r>
      <w:r w:rsidR="0005761A">
        <w:rPr>
          <w:sz w:val="20"/>
          <w:szCs w:val="20"/>
        </w:rPr>
        <w:t xml:space="preserve">several </w:t>
      </w:r>
      <w:r w:rsidR="00E60561">
        <w:rPr>
          <w:sz w:val="20"/>
          <w:szCs w:val="20"/>
        </w:rPr>
        <w:t>discussions</w:t>
      </w:r>
      <w:r w:rsidR="005C5BFE">
        <w:rPr>
          <w:sz w:val="20"/>
          <w:szCs w:val="20"/>
        </w:rPr>
        <w:t xml:space="preserve">, we compiled the expected performance for each </w:t>
      </w:r>
      <w:r w:rsidR="004A3EAA">
        <w:rPr>
          <w:sz w:val="20"/>
          <w:szCs w:val="20"/>
        </w:rPr>
        <w:t xml:space="preserve">of the </w:t>
      </w:r>
      <w:r w:rsidR="005C5BFE">
        <w:rPr>
          <w:sz w:val="20"/>
          <w:szCs w:val="20"/>
        </w:rPr>
        <w:t>UE type</w:t>
      </w:r>
      <w:r w:rsidR="004A3EAA">
        <w:rPr>
          <w:sz w:val="20"/>
          <w:szCs w:val="20"/>
        </w:rPr>
        <w:t>s</w:t>
      </w:r>
      <w:r w:rsidR="005C5BFE">
        <w:rPr>
          <w:sz w:val="20"/>
          <w:szCs w:val="20"/>
        </w:rPr>
        <w:t xml:space="preserve">. </w:t>
      </w:r>
      <w:r w:rsidR="0005761A">
        <w:rPr>
          <w:sz w:val="20"/>
          <w:szCs w:val="20"/>
        </w:rPr>
        <w:t>The intention was to determine if</w:t>
      </w:r>
      <w:r w:rsidR="005C5BFE">
        <w:rPr>
          <w:sz w:val="20"/>
          <w:szCs w:val="20"/>
        </w:rPr>
        <w:t xml:space="preserve"> we could </w:t>
      </w:r>
      <w:r w:rsidR="0005761A">
        <w:rPr>
          <w:sz w:val="20"/>
          <w:szCs w:val="20"/>
        </w:rPr>
        <w:t xml:space="preserve">distinguish </w:t>
      </w:r>
      <w:r w:rsidR="005C5BFE">
        <w:rPr>
          <w:sz w:val="20"/>
          <w:szCs w:val="20"/>
        </w:rPr>
        <w:t>the</w:t>
      </w:r>
      <w:r w:rsidR="0005761A">
        <w:rPr>
          <w:sz w:val="20"/>
          <w:szCs w:val="20"/>
        </w:rPr>
        <w:t xml:space="preserve"> UE</w:t>
      </w:r>
      <w:r w:rsidR="005C5BFE">
        <w:rPr>
          <w:sz w:val="20"/>
          <w:szCs w:val="20"/>
        </w:rPr>
        <w:t xml:space="preserve"> types </w:t>
      </w:r>
      <w:r w:rsidR="00AC50BB">
        <w:rPr>
          <w:sz w:val="20"/>
          <w:szCs w:val="20"/>
        </w:rPr>
        <w:t xml:space="preserve">based on </w:t>
      </w:r>
      <w:r w:rsidR="0005761A">
        <w:rPr>
          <w:sz w:val="20"/>
          <w:szCs w:val="20"/>
        </w:rPr>
        <w:t xml:space="preserve">their </w:t>
      </w:r>
      <w:r w:rsidR="00AC50BB">
        <w:rPr>
          <w:sz w:val="20"/>
          <w:szCs w:val="20"/>
        </w:rPr>
        <w:t xml:space="preserve">expected performance, </w:t>
      </w:r>
      <w:r w:rsidR="009229CC">
        <w:rPr>
          <w:sz w:val="20"/>
          <w:szCs w:val="20"/>
        </w:rPr>
        <w:t>and th</w:t>
      </w:r>
      <w:r w:rsidR="0005761A">
        <w:rPr>
          <w:sz w:val="20"/>
          <w:szCs w:val="20"/>
        </w:rPr>
        <w:t>us find</w:t>
      </w:r>
      <w:r w:rsidR="009229CC">
        <w:rPr>
          <w:sz w:val="20"/>
          <w:szCs w:val="20"/>
        </w:rPr>
        <w:t xml:space="preserve"> the best way to divide power classes</w:t>
      </w:r>
      <w:r w:rsidR="005C5BFE">
        <w:rPr>
          <w:sz w:val="20"/>
          <w:szCs w:val="20"/>
        </w:rPr>
        <w:t xml:space="preserve">. </w:t>
      </w:r>
      <w:r w:rsidR="0005761A">
        <w:rPr>
          <w:sz w:val="20"/>
          <w:szCs w:val="20"/>
        </w:rPr>
        <w:t>A</w:t>
      </w:r>
      <w:r w:rsidR="005C5BFE">
        <w:rPr>
          <w:sz w:val="20"/>
          <w:szCs w:val="20"/>
        </w:rPr>
        <w:t xml:space="preserve"> table summarizing the UE types and expected </w:t>
      </w:r>
      <w:r w:rsidR="00E60561">
        <w:rPr>
          <w:sz w:val="20"/>
          <w:szCs w:val="20"/>
        </w:rPr>
        <w:t xml:space="preserve">performance </w:t>
      </w:r>
      <w:r w:rsidR="0051453B">
        <w:rPr>
          <w:sz w:val="20"/>
          <w:szCs w:val="20"/>
        </w:rPr>
        <w:t>of</w:t>
      </w:r>
      <w:r w:rsidR="00E60561">
        <w:rPr>
          <w:sz w:val="20"/>
          <w:szCs w:val="20"/>
        </w:rPr>
        <w:t xml:space="preserve"> the power </w:t>
      </w:r>
      <w:r w:rsidR="005C5BFE">
        <w:rPr>
          <w:sz w:val="20"/>
          <w:szCs w:val="20"/>
        </w:rPr>
        <w:t>parameters</w:t>
      </w:r>
      <w:r w:rsidR="0005761A">
        <w:rPr>
          <w:sz w:val="20"/>
          <w:szCs w:val="20"/>
        </w:rPr>
        <w:t xml:space="preserve"> was included in the approved Way Forward [4]</w:t>
      </w:r>
      <w:r w:rsidR="005C5BFE">
        <w:rPr>
          <w:sz w:val="20"/>
          <w:szCs w:val="20"/>
        </w:rPr>
        <w:t>. Th</w:t>
      </w:r>
      <w:r w:rsidR="0005761A">
        <w:rPr>
          <w:sz w:val="20"/>
          <w:szCs w:val="20"/>
        </w:rPr>
        <w:t>e</w:t>
      </w:r>
      <w:r w:rsidR="005C5BFE">
        <w:rPr>
          <w:sz w:val="20"/>
          <w:szCs w:val="20"/>
        </w:rPr>
        <w:t xml:space="preserve"> table is found below: </w:t>
      </w:r>
    </w:p>
    <w:p w:rsidR="00021B8B" w:rsidRDefault="00021B8B" w:rsidP="004A3EAA">
      <w:pPr>
        <w:rPr>
          <w:sz w:val="20"/>
          <w:szCs w:val="20"/>
        </w:rPr>
      </w:pPr>
      <w:r w:rsidRPr="00021B8B">
        <w:rPr>
          <w:sz w:val="20"/>
          <w:szCs w:val="20"/>
        </w:rPr>
        <w:tab/>
      </w:r>
    </w:p>
    <w:p w:rsidR="00021B8B" w:rsidRDefault="00021B8B" w:rsidP="00021B8B">
      <w:r>
        <w:rPr>
          <w:noProof/>
        </w:rPr>
        <mc:AlternateContent>
          <mc:Choice Requires="wps">
            <w:drawing>
              <wp:inline distT="0" distB="0" distL="0" distR="0" wp14:anchorId="4C6ACE4F" wp14:editId="38799839">
                <wp:extent cx="6120765" cy="1632857"/>
                <wp:effectExtent l="0" t="0" r="19685" b="24765"/>
                <wp:docPr id="1" name="Text Box 1"/>
                <wp:cNvGraphicFramePr/>
                <a:graphic xmlns:a="http://schemas.openxmlformats.org/drawingml/2006/main">
                  <a:graphicData uri="http://schemas.microsoft.com/office/word/2010/wordprocessingShape">
                    <wps:wsp>
                      <wps:cNvSpPr txBox="1"/>
                      <wps:spPr>
                        <a:xfrm>
                          <a:off x="0" y="0"/>
                          <a:ext cx="6120765" cy="1632857"/>
                        </a:xfrm>
                        <a:prstGeom prst="rect">
                          <a:avLst/>
                        </a:prstGeom>
                        <a:noFill/>
                        <a:ln w="6350">
                          <a:solidFill>
                            <a:prstClr val="black"/>
                          </a:solidFill>
                        </a:ln>
                      </wps:spPr>
                      <wps:txbx>
                        <w:txbxContent>
                          <w:p w:rsidR="00614129" w:rsidRPr="00C06E7D" w:rsidRDefault="00614129" w:rsidP="00951093">
                            <w:pPr>
                              <w:tabs>
                                <w:tab w:val="left" w:pos="6924"/>
                              </w:tabs>
                              <w:spacing w:after="120"/>
                              <w:rPr>
                                <w:rFonts w:ascii="Arial" w:hAnsi="Arial" w:cs="Arial"/>
                                <w:sz w:val="20"/>
                                <w:szCs w:val="22"/>
                                <w:lang w:eastAsia="ko-KR"/>
                              </w:rPr>
                            </w:pPr>
                            <w:r>
                              <w:rPr>
                                <w:rFonts w:ascii="Arial" w:hAnsi="Arial" w:cs="Arial"/>
                                <w:noProof/>
                                <w:sz w:val="20"/>
                                <w:szCs w:val="22"/>
                              </w:rPr>
                              <w:drawing>
                                <wp:inline distT="0" distB="0" distL="0" distR="0">
                                  <wp:extent cx="5687568" cy="1536192"/>
                                  <wp:effectExtent l="0" t="0" r="889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87568" cy="1536192"/>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C6ACE4F" id="_x0000_t202" coordsize="21600,21600" o:spt="202" path="m,l,21600r21600,l21600,xe">
                <v:stroke joinstyle="miter"/>
                <v:path gradientshapeok="t" o:connecttype="rect"/>
              </v:shapetype>
              <v:shape id="Text Box 1" o:spid="_x0000_s1026" type="#_x0000_t202" style="width:481.95pt;height:128.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" filled="f" strokeweight=".5pt">
                <v:textbox>
                  <w:txbxContent>
                    <w:p w:rsidR="00614129" w:rsidRPr="00C06E7D" w:rsidRDefault="00614129" w:rsidP="00951093">
                      <w:pPr>
                        <w:tabs>
                          <w:tab w:val="left" w:pos="6924"/>
                        </w:tabs>
                        <w:spacing w:after="120"/>
                        <w:rPr>
                          <w:rFonts w:ascii="Arial" w:hAnsi="Arial" w:cs="Arial"/>
                          <w:sz w:val="20"/>
                          <w:szCs w:val="22"/>
                          <w:lang w:eastAsia="ko-KR"/>
                        </w:rPr>
                      </w:pPr>
                      <w:r>
                        <w:rPr>
                          <w:rFonts w:ascii="Arial" w:hAnsi="Arial" w:cs="Arial"/>
                          <w:noProof/>
                          <w:sz w:val="20"/>
                          <w:szCs w:val="22"/>
                        </w:rPr>
                        <w:drawing>
                          <wp:inline distT="0" distB="0" distL="0" distR="0">
                            <wp:extent cx="5687568" cy="1536192"/>
                            <wp:effectExtent l="0" t="0" r="889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87568" cy="1536192"/>
                                    </a:xfrm>
                                    <a:prstGeom prst="rect">
                                      <a:avLst/>
                                    </a:prstGeom>
                                    <a:noFill/>
                                    <a:ln>
                                      <a:noFill/>
                                    </a:ln>
                                  </pic:spPr>
                                </pic:pic>
                              </a:graphicData>
                            </a:graphic>
                          </wp:inline>
                        </w:drawing>
                      </w:r>
                    </w:p>
                  </w:txbxContent>
                </v:textbox>
                <w10:anchorlock/>
              </v:shape>
            </w:pict>
          </mc:Fallback>
        </mc:AlternateContent>
      </w:r>
    </w:p>
    <w:p w:rsidR="00021B8B" w:rsidRPr="008B61BA" w:rsidRDefault="00021B8B" w:rsidP="00021B8B">
      <w:pPr>
        <w:rPr>
          <w:sz w:val="20"/>
          <w:szCs w:val="20"/>
        </w:rPr>
      </w:pPr>
    </w:p>
    <w:p w:rsidR="005E2907" w:rsidRDefault="0005761A" w:rsidP="00DC3469">
      <w:pPr>
        <w:jc w:val="both"/>
        <w:rPr>
          <w:sz w:val="20"/>
          <w:szCs w:val="20"/>
        </w:rPr>
      </w:pPr>
      <w:r>
        <w:rPr>
          <w:sz w:val="20"/>
          <w:szCs w:val="20"/>
        </w:rPr>
        <w:t>We</w:t>
      </w:r>
      <w:r w:rsidR="005C5BFE">
        <w:rPr>
          <w:sz w:val="20"/>
          <w:szCs w:val="20"/>
        </w:rPr>
        <w:t xml:space="preserve"> </w:t>
      </w:r>
      <w:r>
        <w:rPr>
          <w:sz w:val="20"/>
          <w:szCs w:val="20"/>
        </w:rPr>
        <w:t>emphasize</w:t>
      </w:r>
      <w:r w:rsidR="005C5BFE">
        <w:rPr>
          <w:sz w:val="20"/>
          <w:szCs w:val="20"/>
        </w:rPr>
        <w:t xml:space="preserve"> that the </w:t>
      </w:r>
      <w:r w:rsidR="005C5BFE" w:rsidRPr="0005761A">
        <w:rPr>
          <w:b/>
          <w:sz w:val="20"/>
          <w:szCs w:val="20"/>
        </w:rPr>
        <w:t>Comments</w:t>
      </w:r>
      <w:r w:rsidR="005C5BFE">
        <w:rPr>
          <w:sz w:val="20"/>
          <w:szCs w:val="20"/>
        </w:rPr>
        <w:t xml:space="preserve"> column </w:t>
      </w:r>
      <w:r>
        <w:rPr>
          <w:sz w:val="20"/>
          <w:szCs w:val="20"/>
        </w:rPr>
        <w:t>of</w:t>
      </w:r>
      <w:r w:rsidR="005C5BFE">
        <w:rPr>
          <w:sz w:val="20"/>
          <w:szCs w:val="20"/>
        </w:rPr>
        <w:t xml:space="preserve"> the table</w:t>
      </w:r>
      <w:r w:rsidR="000D2F62">
        <w:rPr>
          <w:sz w:val="20"/>
          <w:szCs w:val="20"/>
        </w:rPr>
        <w:t xml:space="preserve"> above</w:t>
      </w:r>
      <w:r w:rsidR="005C5BFE">
        <w:rPr>
          <w:sz w:val="20"/>
          <w:szCs w:val="20"/>
        </w:rPr>
        <w:t xml:space="preserve"> has a note clearly stati</w:t>
      </w:r>
      <w:r w:rsidR="004A3EAA">
        <w:rPr>
          <w:sz w:val="20"/>
          <w:szCs w:val="20"/>
        </w:rPr>
        <w:t>ng that the description</w:t>
      </w:r>
      <w:r w:rsidR="005C5BFE">
        <w:rPr>
          <w:sz w:val="20"/>
          <w:szCs w:val="20"/>
        </w:rPr>
        <w:t xml:space="preserve"> in th</w:t>
      </w:r>
      <w:r w:rsidR="00025AE6">
        <w:rPr>
          <w:sz w:val="20"/>
          <w:szCs w:val="20"/>
        </w:rPr>
        <w:t>e</w:t>
      </w:r>
      <w:r>
        <w:rPr>
          <w:sz w:val="20"/>
          <w:szCs w:val="20"/>
        </w:rPr>
        <w:t xml:space="preserve"> column i</w:t>
      </w:r>
      <w:r w:rsidR="005C5BFE">
        <w:rPr>
          <w:sz w:val="20"/>
          <w:szCs w:val="20"/>
        </w:rPr>
        <w:t xml:space="preserve">s only meant to </w:t>
      </w:r>
      <w:r w:rsidR="00025AE6">
        <w:rPr>
          <w:sz w:val="20"/>
          <w:szCs w:val="20"/>
        </w:rPr>
        <w:t>provide context for the example</w:t>
      </w:r>
      <w:r w:rsidR="00AC50BB">
        <w:rPr>
          <w:sz w:val="20"/>
          <w:szCs w:val="20"/>
        </w:rPr>
        <w:t>s</w:t>
      </w:r>
      <w:r w:rsidR="00025AE6">
        <w:rPr>
          <w:sz w:val="20"/>
          <w:szCs w:val="20"/>
        </w:rPr>
        <w:t xml:space="preserve"> used</w:t>
      </w:r>
      <w:r w:rsidR="005C5BFE">
        <w:rPr>
          <w:sz w:val="20"/>
          <w:szCs w:val="20"/>
        </w:rPr>
        <w:t xml:space="preserve"> and </w:t>
      </w:r>
      <w:r w:rsidR="005C5BFE" w:rsidRPr="0005761A">
        <w:rPr>
          <w:i/>
          <w:sz w:val="20"/>
          <w:szCs w:val="20"/>
        </w:rPr>
        <w:t xml:space="preserve">should not preclude other </w:t>
      </w:r>
      <w:r w:rsidR="004A3EAA" w:rsidRPr="0005761A">
        <w:rPr>
          <w:i/>
          <w:sz w:val="20"/>
          <w:szCs w:val="20"/>
        </w:rPr>
        <w:t xml:space="preserve">UE </w:t>
      </w:r>
      <w:r w:rsidR="005C5BFE" w:rsidRPr="0005761A">
        <w:rPr>
          <w:i/>
          <w:sz w:val="20"/>
          <w:szCs w:val="20"/>
        </w:rPr>
        <w:t>types</w:t>
      </w:r>
      <w:r w:rsidR="005C5BFE">
        <w:rPr>
          <w:sz w:val="20"/>
          <w:szCs w:val="20"/>
        </w:rPr>
        <w:t xml:space="preserve"> from being included.</w:t>
      </w:r>
      <w:r w:rsidR="005E2907">
        <w:rPr>
          <w:sz w:val="20"/>
          <w:szCs w:val="20"/>
        </w:rPr>
        <w:t xml:space="preserve"> Moving forward, these were the assumptions used to derive the </w:t>
      </w:r>
      <w:r w:rsidR="000D2F62">
        <w:rPr>
          <w:sz w:val="20"/>
          <w:szCs w:val="20"/>
        </w:rPr>
        <w:t xml:space="preserve">requirements of the </w:t>
      </w:r>
      <w:r w:rsidR="005E2907">
        <w:rPr>
          <w:sz w:val="20"/>
          <w:szCs w:val="20"/>
        </w:rPr>
        <w:t xml:space="preserve">four </w:t>
      </w:r>
      <w:r w:rsidR="000D2F62">
        <w:rPr>
          <w:sz w:val="20"/>
          <w:szCs w:val="20"/>
        </w:rPr>
        <w:t xml:space="preserve">FR2 </w:t>
      </w:r>
      <w:r w:rsidR="005E2907">
        <w:rPr>
          <w:sz w:val="20"/>
          <w:szCs w:val="20"/>
        </w:rPr>
        <w:t>power classes we have today.</w:t>
      </w:r>
    </w:p>
    <w:p w:rsidR="005E2907" w:rsidRDefault="005E2907" w:rsidP="00DC3469">
      <w:pPr>
        <w:jc w:val="both"/>
        <w:rPr>
          <w:sz w:val="20"/>
          <w:szCs w:val="20"/>
        </w:rPr>
      </w:pPr>
    </w:p>
    <w:p w:rsidR="005E2907" w:rsidRDefault="005E2907" w:rsidP="00DC3469">
      <w:pPr>
        <w:jc w:val="both"/>
        <w:rPr>
          <w:sz w:val="20"/>
          <w:szCs w:val="20"/>
        </w:rPr>
      </w:pPr>
      <w:r>
        <w:rPr>
          <w:sz w:val="20"/>
          <w:szCs w:val="20"/>
        </w:rPr>
        <w:t xml:space="preserve">As the requirements </w:t>
      </w:r>
      <w:r w:rsidR="004A3EAA">
        <w:rPr>
          <w:sz w:val="20"/>
          <w:szCs w:val="20"/>
        </w:rPr>
        <w:t>for</w:t>
      </w:r>
      <w:r>
        <w:rPr>
          <w:sz w:val="20"/>
          <w:szCs w:val="20"/>
        </w:rPr>
        <w:t xml:space="preserve"> the four power classes were approved, it was difficult to refer to them by their power class number, since the number does not provide any insights on what performance to expect or the assumptions used to derive the requirements. Thus, it was then agreed to introduce background information on how the power classes were derived, including the UE type, into TR 38.817-01 [</w:t>
      </w:r>
      <w:r w:rsidR="00783551">
        <w:rPr>
          <w:sz w:val="20"/>
          <w:szCs w:val="20"/>
        </w:rPr>
        <w:t>5</w:t>
      </w:r>
      <w:r>
        <w:rPr>
          <w:sz w:val="20"/>
          <w:szCs w:val="20"/>
        </w:rPr>
        <w:t>]. Shortly af</w:t>
      </w:r>
      <w:r w:rsidR="00DB3B57">
        <w:rPr>
          <w:sz w:val="20"/>
          <w:szCs w:val="20"/>
        </w:rPr>
        <w:t xml:space="preserve">ter, the UE type table was </w:t>
      </w:r>
      <w:r>
        <w:rPr>
          <w:sz w:val="20"/>
          <w:szCs w:val="20"/>
        </w:rPr>
        <w:t>added to TS 38.101-2 [</w:t>
      </w:r>
      <w:r w:rsidR="00783551">
        <w:rPr>
          <w:sz w:val="20"/>
          <w:szCs w:val="20"/>
        </w:rPr>
        <w:t>6</w:t>
      </w:r>
      <w:r>
        <w:rPr>
          <w:sz w:val="20"/>
          <w:szCs w:val="20"/>
        </w:rPr>
        <w:t>]</w:t>
      </w:r>
      <w:r w:rsidR="000D2F62">
        <w:rPr>
          <w:sz w:val="20"/>
          <w:szCs w:val="20"/>
        </w:rPr>
        <w:t>.</w:t>
      </w:r>
    </w:p>
    <w:p w:rsidR="005E2907" w:rsidRDefault="005E2907" w:rsidP="00DB3B57">
      <w:pPr>
        <w:rPr>
          <w:sz w:val="20"/>
          <w:szCs w:val="20"/>
        </w:rPr>
      </w:pPr>
    </w:p>
    <w:p w:rsidR="00021B8B" w:rsidRDefault="00021B8B" w:rsidP="00DB3B57">
      <w:pPr>
        <w:rPr>
          <w:sz w:val="20"/>
          <w:szCs w:val="20"/>
        </w:rPr>
      </w:pPr>
      <w:r>
        <w:rPr>
          <w:noProof/>
        </w:rPr>
        <mc:AlternateContent>
          <mc:Choice Requires="wps">
            <w:drawing>
              <wp:inline distT="0" distB="0" distL="0" distR="0" wp14:anchorId="2BD18F49" wp14:editId="2172AF6D">
                <wp:extent cx="6139543" cy="1036864"/>
                <wp:effectExtent l="0" t="0" r="13970" b="11430"/>
                <wp:docPr id="4" name="Text Box 4"/>
                <wp:cNvGraphicFramePr/>
                <a:graphic xmlns:a="http://schemas.openxmlformats.org/drawingml/2006/main">
                  <a:graphicData uri="http://schemas.microsoft.com/office/word/2010/wordprocessingShape">
                    <wps:wsp>
                      <wps:cNvSpPr txBox="1"/>
                      <wps:spPr>
                        <a:xfrm>
                          <a:off x="0" y="0"/>
                          <a:ext cx="6139543" cy="1036864"/>
                        </a:xfrm>
                        <a:prstGeom prst="rect">
                          <a:avLst/>
                        </a:prstGeom>
                        <a:noFill/>
                        <a:ln w="6350">
                          <a:solidFill>
                            <a:prstClr val="black"/>
                          </a:solidFill>
                        </a:ln>
                      </wps:spPr>
                      <wps:txbx>
                        <w:txbxContent>
                          <w:p w:rsidR="00614129" w:rsidRPr="00617B38" w:rsidRDefault="00614129" w:rsidP="00DB3B57">
                            <w:pPr>
                              <w:pStyle w:val="TH"/>
                              <w:spacing w:before="20" w:after="120"/>
                            </w:pPr>
                            <w:r w:rsidRPr="00617B38">
                              <w:rPr>
                                <w:rStyle w:val="msoins0"/>
                              </w:rPr>
                              <w:t>Table 6.2.1.0-1: Assumption of</w:t>
                            </w:r>
                            <w:r w:rsidRPr="00617B38">
                              <w:t> </w:t>
                            </w:r>
                            <w:r w:rsidRPr="00617B38">
                              <w:rPr>
                                <w:rStyle w:val="msoins0"/>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614129" w:rsidRPr="00617B38" w:rsidTr="008D2E15">
                              <w:trPr>
                                <w:trHeight w:val="70"/>
                                <w:jc w:val="center"/>
                              </w:trPr>
                              <w:tc>
                                <w:tcPr>
                                  <w:tcW w:w="2094" w:type="dxa"/>
                                  <w:tcMar>
                                    <w:top w:w="0" w:type="dxa"/>
                                    <w:left w:w="108" w:type="dxa"/>
                                    <w:bottom w:w="0" w:type="dxa"/>
                                    <w:right w:w="108" w:type="dxa"/>
                                  </w:tcMar>
                                  <w:hideMark/>
                                </w:tcPr>
                                <w:p w:rsidR="00614129" w:rsidRPr="00617B38" w:rsidRDefault="00614129" w:rsidP="00F81999">
                                  <w:pPr>
                                    <w:pStyle w:val="TAH"/>
                                  </w:pPr>
                                  <w:r w:rsidRPr="00617B38">
                                    <w:t>UE Power class</w:t>
                                  </w:r>
                                </w:p>
                              </w:tc>
                              <w:tc>
                                <w:tcPr>
                                  <w:tcW w:w="4765" w:type="dxa"/>
                                  <w:tcMar>
                                    <w:top w:w="0" w:type="dxa"/>
                                    <w:left w:w="108" w:type="dxa"/>
                                    <w:bottom w:w="0" w:type="dxa"/>
                                    <w:right w:w="108" w:type="dxa"/>
                                  </w:tcMar>
                                  <w:hideMark/>
                                </w:tcPr>
                                <w:p w:rsidR="00614129" w:rsidRPr="00617B38" w:rsidRDefault="00614129" w:rsidP="00F81999">
                                  <w:pPr>
                                    <w:pStyle w:val="TAH"/>
                                  </w:pPr>
                                  <w:r w:rsidRPr="00617B38">
                                    <w:t>UE type</w:t>
                                  </w:r>
                                </w:p>
                              </w:tc>
                            </w:tr>
                            <w:tr w:rsidR="00614129" w:rsidRPr="00617B38" w:rsidTr="008D2E15">
                              <w:trPr>
                                <w:trHeight w:val="62"/>
                                <w:jc w:val="center"/>
                              </w:trPr>
                              <w:tc>
                                <w:tcPr>
                                  <w:tcW w:w="2094" w:type="dxa"/>
                                  <w:tcMar>
                                    <w:top w:w="0" w:type="dxa"/>
                                    <w:left w:w="108" w:type="dxa"/>
                                    <w:bottom w:w="0" w:type="dxa"/>
                                    <w:right w:w="108" w:type="dxa"/>
                                  </w:tcMar>
                                  <w:hideMark/>
                                </w:tcPr>
                                <w:p w:rsidR="00614129" w:rsidRPr="00617B38" w:rsidRDefault="00614129" w:rsidP="00F81999">
                                  <w:pPr>
                                    <w:pStyle w:val="TAC"/>
                                  </w:pPr>
                                  <w:r w:rsidRPr="00617B38">
                                    <w:t>1</w:t>
                                  </w:r>
                                </w:p>
                              </w:tc>
                              <w:tc>
                                <w:tcPr>
                                  <w:tcW w:w="4765" w:type="dxa"/>
                                  <w:tcMar>
                                    <w:top w:w="0" w:type="dxa"/>
                                    <w:left w:w="108" w:type="dxa"/>
                                    <w:bottom w:w="0" w:type="dxa"/>
                                    <w:right w:w="108" w:type="dxa"/>
                                  </w:tcMar>
                                  <w:hideMark/>
                                </w:tcPr>
                                <w:p w:rsidR="00614129" w:rsidRPr="00617B38" w:rsidRDefault="00614129" w:rsidP="00F81999">
                                  <w:pPr>
                                    <w:pStyle w:val="TAC"/>
                                  </w:pPr>
                                  <w:r w:rsidRPr="00617B38">
                                    <w:t>Fixed wireless access(FWA) UE</w:t>
                                  </w:r>
                                </w:p>
                              </w:tc>
                            </w:tr>
                            <w:tr w:rsidR="00614129" w:rsidRPr="00617B38" w:rsidTr="008D2E15">
                              <w:trPr>
                                <w:trHeight w:val="40"/>
                                <w:jc w:val="center"/>
                              </w:trPr>
                              <w:tc>
                                <w:tcPr>
                                  <w:tcW w:w="2094" w:type="dxa"/>
                                  <w:tcMar>
                                    <w:top w:w="0" w:type="dxa"/>
                                    <w:left w:w="108" w:type="dxa"/>
                                    <w:bottom w:w="0" w:type="dxa"/>
                                    <w:right w:w="108" w:type="dxa"/>
                                  </w:tcMar>
                                  <w:hideMark/>
                                </w:tcPr>
                                <w:p w:rsidR="00614129" w:rsidRPr="00617B38" w:rsidRDefault="00614129" w:rsidP="00F81999">
                                  <w:pPr>
                                    <w:pStyle w:val="TAC"/>
                                  </w:pPr>
                                  <w:r w:rsidRPr="00617B38">
                                    <w:t>2</w:t>
                                  </w:r>
                                </w:p>
                              </w:tc>
                              <w:tc>
                                <w:tcPr>
                                  <w:tcW w:w="4765" w:type="dxa"/>
                                  <w:tcMar>
                                    <w:top w:w="0" w:type="dxa"/>
                                    <w:left w:w="108" w:type="dxa"/>
                                    <w:bottom w:w="0" w:type="dxa"/>
                                    <w:right w:w="108" w:type="dxa"/>
                                  </w:tcMar>
                                  <w:hideMark/>
                                </w:tcPr>
                                <w:p w:rsidR="00614129" w:rsidRPr="00617B38" w:rsidRDefault="00614129" w:rsidP="00F81999">
                                  <w:pPr>
                                    <w:pStyle w:val="TAC"/>
                                  </w:pPr>
                                  <w:r w:rsidRPr="00617B38">
                                    <w:t>Vehicular UE</w:t>
                                  </w:r>
                                </w:p>
                              </w:tc>
                            </w:tr>
                            <w:tr w:rsidR="00614129" w:rsidRPr="00617B38" w:rsidTr="008D2E15">
                              <w:trPr>
                                <w:trHeight w:val="40"/>
                                <w:jc w:val="center"/>
                              </w:trPr>
                              <w:tc>
                                <w:tcPr>
                                  <w:tcW w:w="2094" w:type="dxa"/>
                                  <w:tcMar>
                                    <w:top w:w="0" w:type="dxa"/>
                                    <w:left w:w="108" w:type="dxa"/>
                                    <w:bottom w:w="0" w:type="dxa"/>
                                    <w:right w:w="108" w:type="dxa"/>
                                  </w:tcMar>
                                  <w:hideMark/>
                                </w:tcPr>
                                <w:p w:rsidR="00614129" w:rsidRPr="00617B38" w:rsidRDefault="00614129" w:rsidP="00F81999">
                                  <w:pPr>
                                    <w:pStyle w:val="TAC"/>
                                  </w:pPr>
                                  <w:r w:rsidRPr="00617B38">
                                    <w:t>3</w:t>
                                  </w:r>
                                </w:p>
                              </w:tc>
                              <w:tc>
                                <w:tcPr>
                                  <w:tcW w:w="4765" w:type="dxa"/>
                                  <w:tcMar>
                                    <w:top w:w="0" w:type="dxa"/>
                                    <w:left w:w="108" w:type="dxa"/>
                                    <w:bottom w:w="0" w:type="dxa"/>
                                    <w:right w:w="108" w:type="dxa"/>
                                  </w:tcMar>
                                  <w:hideMark/>
                                </w:tcPr>
                                <w:p w:rsidR="00614129" w:rsidRPr="00617B38" w:rsidRDefault="00614129" w:rsidP="00F81999">
                                  <w:pPr>
                                    <w:pStyle w:val="TAC"/>
                                  </w:pPr>
                                  <w:r w:rsidRPr="00617B38">
                                    <w:t>Handheld UE</w:t>
                                  </w:r>
                                </w:p>
                              </w:tc>
                            </w:tr>
                            <w:tr w:rsidR="00614129" w:rsidRPr="00617B38" w:rsidTr="008D2E15">
                              <w:trPr>
                                <w:trHeight w:val="70"/>
                                <w:jc w:val="center"/>
                              </w:trPr>
                              <w:tc>
                                <w:tcPr>
                                  <w:tcW w:w="2094" w:type="dxa"/>
                                  <w:tcMar>
                                    <w:top w:w="0" w:type="dxa"/>
                                    <w:left w:w="108" w:type="dxa"/>
                                    <w:bottom w:w="0" w:type="dxa"/>
                                    <w:right w:w="108" w:type="dxa"/>
                                  </w:tcMar>
                                  <w:hideMark/>
                                </w:tcPr>
                                <w:p w:rsidR="00614129" w:rsidRPr="00617B38" w:rsidRDefault="00614129" w:rsidP="00F81999">
                                  <w:pPr>
                                    <w:pStyle w:val="TAC"/>
                                  </w:pPr>
                                  <w:r w:rsidRPr="00617B38">
                                    <w:t>4</w:t>
                                  </w:r>
                                </w:p>
                              </w:tc>
                              <w:tc>
                                <w:tcPr>
                                  <w:tcW w:w="4765" w:type="dxa"/>
                                  <w:tcMar>
                                    <w:top w:w="0" w:type="dxa"/>
                                    <w:left w:w="108" w:type="dxa"/>
                                    <w:bottom w:w="0" w:type="dxa"/>
                                    <w:right w:w="108" w:type="dxa"/>
                                  </w:tcMar>
                                  <w:hideMark/>
                                </w:tcPr>
                                <w:p w:rsidR="00614129" w:rsidRPr="00617B38" w:rsidRDefault="00614129" w:rsidP="00F81999">
                                  <w:pPr>
                                    <w:pStyle w:val="TAC"/>
                                  </w:pPr>
                                  <w:r w:rsidRPr="00617B38">
                                    <w:t>High power non-handheld UE</w:t>
                                  </w:r>
                                </w:p>
                              </w:tc>
                            </w:tr>
                          </w:tbl>
                          <w:p w:rsidR="00614129" w:rsidRDefault="00614129" w:rsidP="00021B8B">
                            <w:pPr>
                              <w:tabs>
                                <w:tab w:val="left" w:pos="709"/>
                              </w:tabs>
                              <w:overflowPunct w:val="0"/>
                              <w:autoSpaceDE w:val="0"/>
                              <w:autoSpaceDN w:val="0"/>
                              <w:adjustRightInd w:val="0"/>
                              <w:ind w:left="720" w:hanging="720"/>
                              <w:jc w:val="center"/>
                              <w:textAlignment w:val="baseline"/>
                              <w:rPr>
                                <w:sz w:val="18"/>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BD18F49" id="Text Box 4" o:spid="_x0000_s1027" type="#_x0000_t202" style="width:483.45pt;height:8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" filled="f" strokeweight=".5pt">
                <v:textbox>
                  <w:txbxContent>
                    <w:p w:rsidR="00614129" w:rsidRPr="00617B38" w:rsidRDefault="00614129" w:rsidP="00DB3B57">
                      <w:pPr>
                        <w:pStyle w:val="TH"/>
                        <w:spacing w:before="20" w:after="120"/>
                      </w:pPr>
                      <w:r w:rsidRPr="00617B38">
                        <w:rPr>
                          <w:rStyle w:val="msoins0"/>
                        </w:rPr>
                        <w:t>Table 6.2.1.0-1: Assumption of</w:t>
                      </w:r>
                      <w:r w:rsidRPr="00617B38">
                        <w:t> </w:t>
                      </w:r>
                      <w:r w:rsidRPr="00617B38">
                        <w:rPr>
                          <w:rStyle w:val="msoins0"/>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614129" w:rsidRPr="00617B38" w:rsidTr="008D2E15">
                        <w:trPr>
                          <w:trHeight w:val="70"/>
                          <w:jc w:val="center"/>
                        </w:trPr>
                        <w:tc>
                          <w:tcPr>
                            <w:tcW w:w="2094" w:type="dxa"/>
                            <w:tcMar>
                              <w:top w:w="0" w:type="dxa"/>
                              <w:left w:w="108" w:type="dxa"/>
                              <w:bottom w:w="0" w:type="dxa"/>
                              <w:right w:w="108" w:type="dxa"/>
                            </w:tcMar>
                            <w:hideMark/>
                          </w:tcPr>
                          <w:p w:rsidR="00614129" w:rsidRPr="00617B38" w:rsidRDefault="00614129" w:rsidP="00F81999">
                            <w:pPr>
                              <w:pStyle w:val="TAH"/>
                            </w:pPr>
                            <w:r w:rsidRPr="00617B38">
                              <w:t>UE Power class</w:t>
                            </w:r>
                          </w:p>
                        </w:tc>
                        <w:tc>
                          <w:tcPr>
                            <w:tcW w:w="4765" w:type="dxa"/>
                            <w:tcMar>
                              <w:top w:w="0" w:type="dxa"/>
                              <w:left w:w="108" w:type="dxa"/>
                              <w:bottom w:w="0" w:type="dxa"/>
                              <w:right w:w="108" w:type="dxa"/>
                            </w:tcMar>
                            <w:hideMark/>
                          </w:tcPr>
                          <w:p w:rsidR="00614129" w:rsidRPr="00617B38" w:rsidRDefault="00614129" w:rsidP="00F81999">
                            <w:pPr>
                              <w:pStyle w:val="TAH"/>
                            </w:pPr>
                            <w:r w:rsidRPr="00617B38">
                              <w:t>UE type</w:t>
                            </w:r>
                          </w:p>
                        </w:tc>
                      </w:tr>
                      <w:tr w:rsidR="00614129" w:rsidRPr="00617B38" w:rsidTr="008D2E15">
                        <w:trPr>
                          <w:trHeight w:val="62"/>
                          <w:jc w:val="center"/>
                        </w:trPr>
                        <w:tc>
                          <w:tcPr>
                            <w:tcW w:w="2094" w:type="dxa"/>
                            <w:tcMar>
                              <w:top w:w="0" w:type="dxa"/>
                              <w:left w:w="108" w:type="dxa"/>
                              <w:bottom w:w="0" w:type="dxa"/>
                              <w:right w:w="108" w:type="dxa"/>
                            </w:tcMar>
                            <w:hideMark/>
                          </w:tcPr>
                          <w:p w:rsidR="00614129" w:rsidRPr="00617B38" w:rsidRDefault="00614129" w:rsidP="00F81999">
                            <w:pPr>
                              <w:pStyle w:val="TAC"/>
                            </w:pPr>
                            <w:r w:rsidRPr="00617B38">
                              <w:t>1</w:t>
                            </w:r>
                          </w:p>
                        </w:tc>
                        <w:tc>
                          <w:tcPr>
                            <w:tcW w:w="4765" w:type="dxa"/>
                            <w:tcMar>
                              <w:top w:w="0" w:type="dxa"/>
                              <w:left w:w="108" w:type="dxa"/>
                              <w:bottom w:w="0" w:type="dxa"/>
                              <w:right w:w="108" w:type="dxa"/>
                            </w:tcMar>
                            <w:hideMark/>
                          </w:tcPr>
                          <w:p w:rsidR="00614129" w:rsidRPr="00617B38" w:rsidRDefault="00614129" w:rsidP="00F81999">
                            <w:pPr>
                              <w:pStyle w:val="TAC"/>
                            </w:pPr>
                            <w:r w:rsidRPr="00617B38">
                              <w:t>Fixed wireless access(FWA) UE</w:t>
                            </w:r>
                          </w:p>
                        </w:tc>
                      </w:tr>
                      <w:tr w:rsidR="00614129" w:rsidRPr="00617B38" w:rsidTr="008D2E15">
                        <w:trPr>
                          <w:trHeight w:val="40"/>
                          <w:jc w:val="center"/>
                        </w:trPr>
                        <w:tc>
                          <w:tcPr>
                            <w:tcW w:w="2094" w:type="dxa"/>
                            <w:tcMar>
                              <w:top w:w="0" w:type="dxa"/>
                              <w:left w:w="108" w:type="dxa"/>
                              <w:bottom w:w="0" w:type="dxa"/>
                              <w:right w:w="108" w:type="dxa"/>
                            </w:tcMar>
                            <w:hideMark/>
                          </w:tcPr>
                          <w:p w:rsidR="00614129" w:rsidRPr="00617B38" w:rsidRDefault="00614129" w:rsidP="00F81999">
                            <w:pPr>
                              <w:pStyle w:val="TAC"/>
                            </w:pPr>
                            <w:r w:rsidRPr="00617B38">
                              <w:t>2</w:t>
                            </w:r>
                          </w:p>
                        </w:tc>
                        <w:tc>
                          <w:tcPr>
                            <w:tcW w:w="4765" w:type="dxa"/>
                            <w:tcMar>
                              <w:top w:w="0" w:type="dxa"/>
                              <w:left w:w="108" w:type="dxa"/>
                              <w:bottom w:w="0" w:type="dxa"/>
                              <w:right w:w="108" w:type="dxa"/>
                            </w:tcMar>
                            <w:hideMark/>
                          </w:tcPr>
                          <w:p w:rsidR="00614129" w:rsidRPr="00617B38" w:rsidRDefault="00614129" w:rsidP="00F81999">
                            <w:pPr>
                              <w:pStyle w:val="TAC"/>
                            </w:pPr>
                            <w:r w:rsidRPr="00617B38">
                              <w:t>Vehicular UE</w:t>
                            </w:r>
                          </w:p>
                        </w:tc>
                      </w:tr>
                      <w:tr w:rsidR="00614129" w:rsidRPr="00617B38" w:rsidTr="008D2E15">
                        <w:trPr>
                          <w:trHeight w:val="40"/>
                          <w:jc w:val="center"/>
                        </w:trPr>
                        <w:tc>
                          <w:tcPr>
                            <w:tcW w:w="2094" w:type="dxa"/>
                            <w:tcMar>
                              <w:top w:w="0" w:type="dxa"/>
                              <w:left w:w="108" w:type="dxa"/>
                              <w:bottom w:w="0" w:type="dxa"/>
                              <w:right w:w="108" w:type="dxa"/>
                            </w:tcMar>
                            <w:hideMark/>
                          </w:tcPr>
                          <w:p w:rsidR="00614129" w:rsidRPr="00617B38" w:rsidRDefault="00614129" w:rsidP="00F81999">
                            <w:pPr>
                              <w:pStyle w:val="TAC"/>
                            </w:pPr>
                            <w:r w:rsidRPr="00617B38">
                              <w:t>3</w:t>
                            </w:r>
                          </w:p>
                        </w:tc>
                        <w:tc>
                          <w:tcPr>
                            <w:tcW w:w="4765" w:type="dxa"/>
                            <w:tcMar>
                              <w:top w:w="0" w:type="dxa"/>
                              <w:left w:w="108" w:type="dxa"/>
                              <w:bottom w:w="0" w:type="dxa"/>
                              <w:right w:w="108" w:type="dxa"/>
                            </w:tcMar>
                            <w:hideMark/>
                          </w:tcPr>
                          <w:p w:rsidR="00614129" w:rsidRPr="00617B38" w:rsidRDefault="00614129" w:rsidP="00F81999">
                            <w:pPr>
                              <w:pStyle w:val="TAC"/>
                            </w:pPr>
                            <w:r w:rsidRPr="00617B38">
                              <w:t>Handheld UE</w:t>
                            </w:r>
                          </w:p>
                        </w:tc>
                      </w:tr>
                      <w:tr w:rsidR="00614129" w:rsidRPr="00617B38" w:rsidTr="008D2E15">
                        <w:trPr>
                          <w:trHeight w:val="70"/>
                          <w:jc w:val="center"/>
                        </w:trPr>
                        <w:tc>
                          <w:tcPr>
                            <w:tcW w:w="2094" w:type="dxa"/>
                            <w:tcMar>
                              <w:top w:w="0" w:type="dxa"/>
                              <w:left w:w="108" w:type="dxa"/>
                              <w:bottom w:w="0" w:type="dxa"/>
                              <w:right w:w="108" w:type="dxa"/>
                            </w:tcMar>
                            <w:hideMark/>
                          </w:tcPr>
                          <w:p w:rsidR="00614129" w:rsidRPr="00617B38" w:rsidRDefault="00614129" w:rsidP="00F81999">
                            <w:pPr>
                              <w:pStyle w:val="TAC"/>
                            </w:pPr>
                            <w:r w:rsidRPr="00617B38">
                              <w:t>4</w:t>
                            </w:r>
                          </w:p>
                        </w:tc>
                        <w:tc>
                          <w:tcPr>
                            <w:tcW w:w="4765" w:type="dxa"/>
                            <w:tcMar>
                              <w:top w:w="0" w:type="dxa"/>
                              <w:left w:w="108" w:type="dxa"/>
                              <w:bottom w:w="0" w:type="dxa"/>
                              <w:right w:w="108" w:type="dxa"/>
                            </w:tcMar>
                            <w:hideMark/>
                          </w:tcPr>
                          <w:p w:rsidR="00614129" w:rsidRPr="00617B38" w:rsidRDefault="00614129" w:rsidP="00F81999">
                            <w:pPr>
                              <w:pStyle w:val="TAC"/>
                            </w:pPr>
                            <w:r w:rsidRPr="00617B38">
                              <w:t>High power non-handheld UE</w:t>
                            </w:r>
                          </w:p>
                        </w:tc>
                      </w:tr>
                    </w:tbl>
                    <w:p w:rsidR="00614129" w:rsidRDefault="00614129" w:rsidP="00021B8B">
                      <w:pPr>
                        <w:tabs>
                          <w:tab w:val="left" w:pos="709"/>
                        </w:tabs>
                        <w:overflowPunct w:val="0"/>
                        <w:autoSpaceDE w:val="0"/>
                        <w:autoSpaceDN w:val="0"/>
                        <w:adjustRightInd w:val="0"/>
                        <w:ind w:left="720" w:hanging="720"/>
                        <w:jc w:val="center"/>
                        <w:textAlignment w:val="baseline"/>
                        <w:rPr>
                          <w:sz w:val="18"/>
                          <w:szCs w:val="20"/>
                        </w:rPr>
                      </w:pPr>
                    </w:p>
                  </w:txbxContent>
                </v:textbox>
                <w10:anchorlock/>
              </v:shape>
            </w:pict>
          </mc:Fallback>
        </mc:AlternateContent>
      </w:r>
    </w:p>
    <w:p w:rsidR="0051453B" w:rsidRDefault="0051453B" w:rsidP="00DB3B57">
      <w:pPr>
        <w:rPr>
          <w:sz w:val="20"/>
          <w:szCs w:val="20"/>
        </w:rPr>
      </w:pPr>
    </w:p>
    <w:p w:rsidR="0051453B" w:rsidRDefault="003607AD" w:rsidP="00DC3469">
      <w:pPr>
        <w:jc w:val="both"/>
        <w:rPr>
          <w:sz w:val="20"/>
          <w:szCs w:val="20"/>
        </w:rPr>
      </w:pPr>
      <w:r>
        <w:rPr>
          <w:sz w:val="20"/>
          <w:szCs w:val="20"/>
        </w:rPr>
        <w:t xml:space="preserve">Connected devices </w:t>
      </w:r>
      <w:r w:rsidR="00E77434">
        <w:rPr>
          <w:sz w:val="20"/>
          <w:szCs w:val="20"/>
        </w:rPr>
        <w:t xml:space="preserve">will </w:t>
      </w:r>
      <w:r>
        <w:rPr>
          <w:sz w:val="20"/>
          <w:szCs w:val="20"/>
        </w:rPr>
        <w:t>go beyond smartphones in 5G.</w:t>
      </w:r>
      <w:r w:rsidR="00614129">
        <w:rPr>
          <w:sz w:val="20"/>
          <w:szCs w:val="20"/>
        </w:rPr>
        <w:t xml:space="preserve"> </w:t>
      </w:r>
      <w:r>
        <w:rPr>
          <w:sz w:val="20"/>
          <w:szCs w:val="20"/>
        </w:rPr>
        <w:t xml:space="preserve">The </w:t>
      </w:r>
      <w:r w:rsidR="0051453B">
        <w:rPr>
          <w:sz w:val="20"/>
          <w:szCs w:val="20"/>
        </w:rPr>
        <w:t xml:space="preserve">NR </w:t>
      </w:r>
      <w:r w:rsidR="00614129">
        <w:rPr>
          <w:sz w:val="20"/>
          <w:szCs w:val="20"/>
        </w:rPr>
        <w:t>s</w:t>
      </w:r>
      <w:r w:rsidR="0051453B">
        <w:rPr>
          <w:sz w:val="20"/>
          <w:szCs w:val="20"/>
        </w:rPr>
        <w:t>tudy on test methods</w:t>
      </w:r>
      <w:r>
        <w:rPr>
          <w:sz w:val="20"/>
          <w:szCs w:val="20"/>
        </w:rPr>
        <w:t xml:space="preserve"> reflects this in the variety</w:t>
      </w:r>
      <w:r w:rsidR="00385235">
        <w:rPr>
          <w:sz w:val="20"/>
          <w:szCs w:val="20"/>
        </w:rPr>
        <w:t xml:space="preserve"> </w:t>
      </w:r>
      <w:r>
        <w:rPr>
          <w:sz w:val="20"/>
          <w:szCs w:val="20"/>
        </w:rPr>
        <w:t xml:space="preserve">of </w:t>
      </w:r>
      <w:r w:rsidR="00385235">
        <w:rPr>
          <w:sz w:val="20"/>
          <w:szCs w:val="20"/>
        </w:rPr>
        <w:t xml:space="preserve">UE types </w:t>
      </w:r>
      <w:r w:rsidR="00E77434">
        <w:rPr>
          <w:sz w:val="20"/>
          <w:szCs w:val="20"/>
        </w:rPr>
        <w:t xml:space="preserve">found </w:t>
      </w:r>
      <w:r>
        <w:rPr>
          <w:sz w:val="20"/>
          <w:szCs w:val="20"/>
        </w:rPr>
        <w:t>in its scope</w:t>
      </w:r>
      <w:r w:rsidR="00E77434">
        <w:rPr>
          <w:sz w:val="20"/>
          <w:szCs w:val="20"/>
        </w:rPr>
        <w:t xml:space="preserve"> [7]. The study also</w:t>
      </w:r>
      <w:r>
        <w:rPr>
          <w:sz w:val="20"/>
          <w:szCs w:val="20"/>
        </w:rPr>
        <w:t xml:space="preserve"> </w:t>
      </w:r>
      <w:r w:rsidR="00385235">
        <w:rPr>
          <w:sz w:val="20"/>
          <w:szCs w:val="20"/>
        </w:rPr>
        <w:t>ma</w:t>
      </w:r>
      <w:r w:rsidR="00E77434">
        <w:rPr>
          <w:sz w:val="20"/>
          <w:szCs w:val="20"/>
        </w:rPr>
        <w:t xml:space="preserve">de </w:t>
      </w:r>
      <w:r w:rsidR="00614129">
        <w:rPr>
          <w:sz w:val="20"/>
          <w:szCs w:val="20"/>
        </w:rPr>
        <w:t>a point not to preclude future devices</w:t>
      </w:r>
      <w:r w:rsidR="00385235">
        <w:rPr>
          <w:sz w:val="20"/>
          <w:szCs w:val="20"/>
        </w:rPr>
        <w:t xml:space="preserve">, </w:t>
      </w:r>
      <w:r w:rsidR="00E77434">
        <w:rPr>
          <w:sz w:val="20"/>
          <w:szCs w:val="20"/>
        </w:rPr>
        <w:t xml:space="preserve">which combined </w:t>
      </w:r>
      <w:r w:rsidR="00385235">
        <w:rPr>
          <w:sz w:val="20"/>
          <w:szCs w:val="20"/>
        </w:rPr>
        <w:t xml:space="preserve">with </w:t>
      </w:r>
      <w:r w:rsidR="00614129">
        <w:rPr>
          <w:sz w:val="20"/>
          <w:szCs w:val="20"/>
        </w:rPr>
        <w:t xml:space="preserve">having </w:t>
      </w:r>
      <w:r w:rsidR="00385235">
        <w:rPr>
          <w:sz w:val="20"/>
          <w:szCs w:val="20"/>
        </w:rPr>
        <w:t>multiple</w:t>
      </w:r>
      <w:r w:rsidR="00614129">
        <w:rPr>
          <w:sz w:val="20"/>
          <w:szCs w:val="20"/>
        </w:rPr>
        <w:t xml:space="preserve"> UE type</w:t>
      </w:r>
      <w:r w:rsidR="00385235">
        <w:rPr>
          <w:sz w:val="20"/>
          <w:szCs w:val="20"/>
        </w:rPr>
        <w:t>s</w:t>
      </w:r>
      <w:r w:rsidR="00614129">
        <w:rPr>
          <w:sz w:val="20"/>
          <w:szCs w:val="20"/>
        </w:rPr>
        <w:t xml:space="preserve"> </w:t>
      </w:r>
      <w:r w:rsidR="00385235">
        <w:rPr>
          <w:sz w:val="20"/>
          <w:szCs w:val="20"/>
        </w:rPr>
        <w:t xml:space="preserve">in a single </w:t>
      </w:r>
      <w:r w:rsidR="00614129">
        <w:rPr>
          <w:sz w:val="20"/>
          <w:szCs w:val="20"/>
        </w:rPr>
        <w:t>pow</w:t>
      </w:r>
      <w:r w:rsidR="00385235">
        <w:rPr>
          <w:sz w:val="20"/>
          <w:szCs w:val="20"/>
        </w:rPr>
        <w:t xml:space="preserve">er class, has </w:t>
      </w:r>
      <w:r w:rsidR="00E77434">
        <w:rPr>
          <w:sz w:val="20"/>
          <w:szCs w:val="20"/>
        </w:rPr>
        <w:t xml:space="preserve">testability </w:t>
      </w:r>
      <w:r w:rsidR="00614129">
        <w:rPr>
          <w:sz w:val="20"/>
          <w:szCs w:val="20"/>
        </w:rPr>
        <w:t xml:space="preserve">implications we have yet to </w:t>
      </w:r>
      <w:r w:rsidR="00E77434">
        <w:rPr>
          <w:sz w:val="20"/>
          <w:szCs w:val="20"/>
        </w:rPr>
        <w:t xml:space="preserve">fully </w:t>
      </w:r>
      <w:r w:rsidR="00385235">
        <w:rPr>
          <w:sz w:val="20"/>
          <w:szCs w:val="20"/>
        </w:rPr>
        <w:t>discuss</w:t>
      </w:r>
      <w:r w:rsidR="00614129">
        <w:rPr>
          <w:sz w:val="20"/>
          <w:szCs w:val="20"/>
        </w:rPr>
        <w:t>. In this paper</w:t>
      </w:r>
      <w:r w:rsidR="00385235">
        <w:rPr>
          <w:sz w:val="20"/>
          <w:szCs w:val="20"/>
        </w:rPr>
        <w:t>, we present</w:t>
      </w:r>
      <w:r w:rsidR="00614129">
        <w:rPr>
          <w:sz w:val="20"/>
          <w:szCs w:val="20"/>
        </w:rPr>
        <w:t xml:space="preserve"> our views on how we </w:t>
      </w:r>
      <w:r w:rsidR="00385235">
        <w:rPr>
          <w:sz w:val="20"/>
          <w:szCs w:val="20"/>
        </w:rPr>
        <w:t xml:space="preserve">can </w:t>
      </w:r>
      <w:r>
        <w:rPr>
          <w:sz w:val="20"/>
          <w:szCs w:val="20"/>
        </w:rPr>
        <w:t>approach</w:t>
      </w:r>
      <w:r w:rsidR="00385235">
        <w:rPr>
          <w:sz w:val="20"/>
          <w:szCs w:val="20"/>
        </w:rPr>
        <w:t xml:space="preserve"> these implications in future FR2 testability work.</w:t>
      </w:r>
    </w:p>
    <w:p w:rsidR="00614129" w:rsidRDefault="00614129" w:rsidP="00DB3B57">
      <w:pPr>
        <w:rPr>
          <w:sz w:val="20"/>
          <w:szCs w:val="20"/>
        </w:rPr>
      </w:pPr>
    </w:p>
    <w:p w:rsidR="0005761A" w:rsidRPr="000B5EAC" w:rsidRDefault="0005761A" w:rsidP="000B5EAC">
      <w:pPr>
        <w:tabs>
          <w:tab w:val="left" w:pos="1054"/>
        </w:tabs>
        <w:rPr>
          <w:sz w:val="20"/>
          <w:szCs w:val="20"/>
        </w:rPr>
      </w:pPr>
    </w:p>
    <w:p w:rsidR="00021B8B" w:rsidRPr="0086531A" w:rsidRDefault="00021B8B" w:rsidP="000B5EAC">
      <w:pPr>
        <w:pStyle w:val="Heading1"/>
        <w:spacing w:before="140"/>
        <w:ind w:left="562" w:hanging="562"/>
        <w:rPr>
          <w:lang w:val="en-US"/>
        </w:rPr>
      </w:pPr>
      <w:r w:rsidRPr="0086531A">
        <w:rPr>
          <w:lang w:val="en-US"/>
        </w:rPr>
        <w:lastRenderedPageBreak/>
        <w:t>Discussion</w:t>
      </w:r>
    </w:p>
    <w:p w:rsidR="00021B8B" w:rsidRDefault="00861F4D" w:rsidP="000B5EAC">
      <w:pPr>
        <w:pStyle w:val="Heading2"/>
        <w:tabs>
          <w:tab w:val="clear" w:pos="360"/>
        </w:tabs>
        <w:spacing w:before="280" w:after="120"/>
        <w:ind w:left="562" w:hanging="562"/>
        <w:rPr>
          <w:rFonts w:eastAsia="SimSun"/>
        </w:rPr>
      </w:pPr>
      <w:r>
        <w:rPr>
          <w:rFonts w:eastAsia="SimSun"/>
        </w:rPr>
        <w:t>P</w:t>
      </w:r>
      <w:r w:rsidR="00E60561">
        <w:rPr>
          <w:rFonts w:eastAsia="SimSun"/>
        </w:rPr>
        <w:t>ower classes</w:t>
      </w:r>
      <w:r>
        <w:rPr>
          <w:rFonts w:eastAsia="SimSun"/>
        </w:rPr>
        <w:t xml:space="preserve"> and UE types</w:t>
      </w:r>
    </w:p>
    <w:p w:rsidR="00861F4D" w:rsidRDefault="00F4158D" w:rsidP="00AF1FAB">
      <w:pPr>
        <w:jc w:val="both"/>
        <w:rPr>
          <w:sz w:val="20"/>
          <w:szCs w:val="20"/>
        </w:rPr>
      </w:pPr>
      <w:r>
        <w:rPr>
          <w:sz w:val="20"/>
          <w:szCs w:val="20"/>
        </w:rPr>
        <w:t>While FR2 power class requirements were defined with specific architectures and UE types in mind [5], the power classes themselves are agnost</w:t>
      </w:r>
      <w:r w:rsidR="00385235">
        <w:rPr>
          <w:sz w:val="20"/>
          <w:szCs w:val="20"/>
        </w:rPr>
        <w:t>ic to UE type. As detailed in [8</w:t>
      </w:r>
      <w:r>
        <w:rPr>
          <w:sz w:val="20"/>
          <w:szCs w:val="20"/>
        </w:rPr>
        <w:t xml:space="preserve">] and captured in </w:t>
      </w:r>
      <w:r w:rsidR="00DE4CF7">
        <w:rPr>
          <w:sz w:val="20"/>
          <w:szCs w:val="20"/>
        </w:rPr>
        <w:t>[5</w:t>
      </w:r>
      <w:r>
        <w:rPr>
          <w:sz w:val="20"/>
          <w:szCs w:val="20"/>
        </w:rPr>
        <w:t>], discussions have concluded that other UE types should not be precluded</w:t>
      </w:r>
      <w:r w:rsidR="00861F4D">
        <w:rPr>
          <w:sz w:val="20"/>
          <w:szCs w:val="20"/>
        </w:rPr>
        <w:t xml:space="preserve"> from operating in the same power</w:t>
      </w:r>
      <w:r>
        <w:rPr>
          <w:sz w:val="20"/>
          <w:szCs w:val="20"/>
        </w:rPr>
        <w:t>.</w:t>
      </w:r>
      <w:r w:rsidR="00861F4D">
        <w:rPr>
          <w:sz w:val="20"/>
          <w:szCs w:val="20"/>
        </w:rPr>
        <w:t xml:space="preserve"> That is, of course, </w:t>
      </w:r>
      <w:r w:rsidR="00385235">
        <w:rPr>
          <w:sz w:val="20"/>
          <w:szCs w:val="20"/>
        </w:rPr>
        <w:t xml:space="preserve">only </w:t>
      </w:r>
      <w:r w:rsidR="00861F4D">
        <w:rPr>
          <w:sz w:val="20"/>
          <w:szCs w:val="20"/>
        </w:rPr>
        <w:t>if the UE meets all the requirements captured in the power class.</w:t>
      </w:r>
    </w:p>
    <w:p w:rsidR="00F4158D" w:rsidRDefault="00861F4D" w:rsidP="00AF1FAB">
      <w:pPr>
        <w:tabs>
          <w:tab w:val="left" w:pos="7377"/>
        </w:tabs>
        <w:jc w:val="both"/>
        <w:rPr>
          <w:sz w:val="20"/>
          <w:szCs w:val="20"/>
        </w:rPr>
      </w:pPr>
      <w:r>
        <w:rPr>
          <w:sz w:val="20"/>
          <w:szCs w:val="20"/>
        </w:rPr>
        <w:tab/>
      </w:r>
    </w:p>
    <w:p w:rsidR="00F4158D" w:rsidRDefault="00861F4D" w:rsidP="00AF1FAB">
      <w:pPr>
        <w:jc w:val="both"/>
        <w:rPr>
          <w:sz w:val="20"/>
          <w:szCs w:val="20"/>
        </w:rPr>
      </w:pPr>
      <w:r>
        <w:rPr>
          <w:b/>
          <w:sz w:val="20"/>
          <w:szCs w:val="20"/>
        </w:rPr>
        <w:t>Observation 1</w:t>
      </w:r>
      <w:r w:rsidRPr="00844CF4">
        <w:rPr>
          <w:b/>
          <w:sz w:val="20"/>
          <w:szCs w:val="20"/>
        </w:rPr>
        <w:t>:</w:t>
      </w:r>
      <w:r w:rsidRPr="00021B8B">
        <w:rPr>
          <w:sz w:val="20"/>
          <w:szCs w:val="20"/>
        </w:rPr>
        <w:t xml:space="preserve"> </w:t>
      </w:r>
      <w:r>
        <w:rPr>
          <w:sz w:val="20"/>
          <w:szCs w:val="20"/>
        </w:rPr>
        <w:t>Power classes in FR2 were intended to be agnostic to UE type and common understanding is that several UE types can operate under the same power class, as long as they can meet its requirements.</w:t>
      </w:r>
    </w:p>
    <w:p w:rsidR="00861F4D" w:rsidRDefault="00861F4D" w:rsidP="00AF1FAB">
      <w:pPr>
        <w:jc w:val="both"/>
        <w:rPr>
          <w:sz w:val="20"/>
          <w:szCs w:val="20"/>
        </w:rPr>
      </w:pPr>
    </w:p>
    <w:p w:rsidR="00861F4D" w:rsidRDefault="007745CB" w:rsidP="00AF1FAB">
      <w:pPr>
        <w:jc w:val="both"/>
        <w:rPr>
          <w:sz w:val="20"/>
          <w:szCs w:val="20"/>
        </w:rPr>
      </w:pPr>
      <w:r>
        <w:rPr>
          <w:sz w:val="20"/>
          <w:szCs w:val="20"/>
        </w:rPr>
        <w:t>F</w:t>
      </w:r>
      <w:r w:rsidR="00861F4D" w:rsidRPr="00385235">
        <w:rPr>
          <w:sz w:val="20"/>
          <w:szCs w:val="20"/>
        </w:rPr>
        <w:t xml:space="preserve">eedback </w:t>
      </w:r>
      <w:r>
        <w:rPr>
          <w:sz w:val="20"/>
          <w:szCs w:val="20"/>
        </w:rPr>
        <w:t xml:space="preserve">received </w:t>
      </w:r>
      <w:r w:rsidR="00861F4D" w:rsidRPr="00385235">
        <w:rPr>
          <w:sz w:val="20"/>
          <w:szCs w:val="20"/>
        </w:rPr>
        <w:t>on th</w:t>
      </w:r>
      <w:r w:rsidR="00385235" w:rsidRPr="00385235">
        <w:rPr>
          <w:sz w:val="20"/>
          <w:szCs w:val="20"/>
        </w:rPr>
        <w:t>e above</w:t>
      </w:r>
      <w:r w:rsidR="00861F4D" w:rsidRPr="00385235">
        <w:rPr>
          <w:sz w:val="20"/>
          <w:szCs w:val="20"/>
        </w:rPr>
        <w:t xml:space="preserve"> point </w:t>
      </w:r>
      <w:r>
        <w:rPr>
          <w:sz w:val="20"/>
          <w:szCs w:val="20"/>
        </w:rPr>
        <w:t xml:space="preserve">during RAN4 #91 </w:t>
      </w:r>
      <w:r w:rsidR="00385235" w:rsidRPr="00385235">
        <w:rPr>
          <w:sz w:val="20"/>
          <w:szCs w:val="20"/>
        </w:rPr>
        <w:t>support</w:t>
      </w:r>
      <w:r w:rsidR="00861F4D" w:rsidRPr="00385235">
        <w:rPr>
          <w:sz w:val="20"/>
          <w:szCs w:val="20"/>
        </w:rPr>
        <w:t xml:space="preserve">ed this fact, with a caveat for PC1 </w:t>
      </w:r>
      <w:r w:rsidR="00385235" w:rsidRPr="00385235">
        <w:rPr>
          <w:sz w:val="20"/>
          <w:szCs w:val="20"/>
        </w:rPr>
        <w:t>since the</w:t>
      </w:r>
      <w:r w:rsidR="00861F4D" w:rsidRPr="00385235">
        <w:rPr>
          <w:sz w:val="20"/>
          <w:szCs w:val="20"/>
        </w:rPr>
        <w:t xml:space="preserve"> UE </w:t>
      </w:r>
      <w:r w:rsidR="00385235" w:rsidRPr="00385235">
        <w:rPr>
          <w:sz w:val="20"/>
          <w:szCs w:val="20"/>
        </w:rPr>
        <w:t xml:space="preserve">type </w:t>
      </w:r>
      <w:r w:rsidR="00861F4D" w:rsidRPr="00385235">
        <w:rPr>
          <w:sz w:val="20"/>
          <w:szCs w:val="20"/>
        </w:rPr>
        <w:t>must be a fixed device on a fixed platform</w:t>
      </w:r>
      <w:r>
        <w:rPr>
          <w:sz w:val="20"/>
          <w:szCs w:val="20"/>
        </w:rPr>
        <w:t xml:space="preserve"> </w:t>
      </w:r>
      <w:r w:rsidRPr="00385235">
        <w:rPr>
          <w:sz w:val="20"/>
          <w:szCs w:val="20"/>
        </w:rPr>
        <w:t>[9]</w:t>
      </w:r>
      <w:r w:rsidR="00861F4D" w:rsidRPr="00385235">
        <w:rPr>
          <w:sz w:val="20"/>
          <w:szCs w:val="20"/>
        </w:rPr>
        <w:t>. This aspect is implied in the</w:t>
      </w:r>
      <w:r w:rsidR="00385235" w:rsidRPr="00385235">
        <w:rPr>
          <w:sz w:val="20"/>
          <w:szCs w:val="20"/>
        </w:rPr>
        <w:t xml:space="preserve"> </w:t>
      </w:r>
      <w:r w:rsidR="00861F4D" w:rsidRPr="00385235">
        <w:rPr>
          <w:sz w:val="20"/>
          <w:szCs w:val="20"/>
        </w:rPr>
        <w:t>max</w:t>
      </w:r>
      <w:r w:rsidR="00385235" w:rsidRPr="00385235">
        <w:rPr>
          <w:sz w:val="20"/>
          <w:szCs w:val="20"/>
        </w:rPr>
        <w:t>imum</w:t>
      </w:r>
      <w:r w:rsidR="00861F4D" w:rsidRPr="00385235">
        <w:rPr>
          <w:sz w:val="20"/>
          <w:szCs w:val="20"/>
        </w:rPr>
        <w:t xml:space="preserve"> EIRP of PC1, therefore it is already captured in the requirements.</w:t>
      </w:r>
      <w:r w:rsidR="00861F4D">
        <w:rPr>
          <w:sz w:val="20"/>
          <w:szCs w:val="20"/>
        </w:rPr>
        <w:t xml:space="preserve"> </w:t>
      </w:r>
      <w:r w:rsidR="00385235">
        <w:rPr>
          <w:sz w:val="20"/>
          <w:szCs w:val="20"/>
        </w:rPr>
        <w:t>In the following section we examine the potential i</w:t>
      </w:r>
      <w:r w:rsidR="0030519D">
        <w:rPr>
          <w:sz w:val="20"/>
          <w:szCs w:val="20"/>
        </w:rPr>
        <w:t>mpact different UE types can have on testability related topics.</w:t>
      </w:r>
    </w:p>
    <w:p w:rsidR="00861F4D" w:rsidRDefault="00861F4D" w:rsidP="00E60561">
      <w:pPr>
        <w:rPr>
          <w:sz w:val="20"/>
          <w:szCs w:val="20"/>
        </w:rPr>
      </w:pPr>
    </w:p>
    <w:p w:rsidR="00861F4D" w:rsidRDefault="00861F4D" w:rsidP="0021157F">
      <w:pPr>
        <w:pStyle w:val="Heading2"/>
        <w:tabs>
          <w:tab w:val="clear" w:pos="360"/>
        </w:tabs>
        <w:spacing w:before="200" w:after="120"/>
        <w:ind w:left="562" w:hanging="562"/>
        <w:rPr>
          <w:rFonts w:eastAsia="SimSun"/>
        </w:rPr>
      </w:pPr>
      <w:r>
        <w:rPr>
          <w:rFonts w:eastAsia="SimSun"/>
        </w:rPr>
        <w:t>Testability impact</w:t>
      </w:r>
    </w:p>
    <w:p w:rsidR="00861F4D" w:rsidRDefault="00872A28" w:rsidP="00AF1FAB">
      <w:pPr>
        <w:jc w:val="both"/>
        <w:rPr>
          <w:sz w:val="20"/>
          <w:szCs w:val="20"/>
        </w:rPr>
      </w:pPr>
      <w:r>
        <w:rPr>
          <w:sz w:val="20"/>
          <w:szCs w:val="20"/>
        </w:rPr>
        <w:t>With more than one UE type per power class, a</w:t>
      </w:r>
      <w:r w:rsidR="00861F4D">
        <w:rPr>
          <w:sz w:val="20"/>
          <w:szCs w:val="20"/>
        </w:rPr>
        <w:t xml:space="preserve"> manufacturer declaration of the UE’s power class</w:t>
      </w:r>
      <w:r w:rsidR="00861F4D" w:rsidRPr="00021B8B">
        <w:rPr>
          <w:sz w:val="20"/>
          <w:szCs w:val="20"/>
        </w:rPr>
        <w:t xml:space="preserve"> </w:t>
      </w:r>
      <w:r w:rsidR="00861F4D">
        <w:rPr>
          <w:sz w:val="20"/>
          <w:szCs w:val="20"/>
        </w:rPr>
        <w:t xml:space="preserve">will </w:t>
      </w:r>
      <w:r w:rsidR="00861F4D" w:rsidRPr="00021B8B">
        <w:rPr>
          <w:sz w:val="20"/>
          <w:szCs w:val="20"/>
        </w:rPr>
        <w:t>be needed fo</w:t>
      </w:r>
      <w:r w:rsidR="00861F4D">
        <w:rPr>
          <w:sz w:val="20"/>
          <w:szCs w:val="20"/>
        </w:rPr>
        <w:t xml:space="preserve">r conformance testing. </w:t>
      </w:r>
      <w:r w:rsidR="0039636F">
        <w:rPr>
          <w:sz w:val="20"/>
          <w:szCs w:val="20"/>
        </w:rPr>
        <w:t>Also</w:t>
      </w:r>
      <w:r w:rsidR="00861F4D">
        <w:rPr>
          <w:sz w:val="20"/>
          <w:szCs w:val="20"/>
        </w:rPr>
        <w:t xml:space="preserve">, </w:t>
      </w:r>
      <w:r>
        <w:rPr>
          <w:sz w:val="20"/>
          <w:szCs w:val="20"/>
        </w:rPr>
        <w:t xml:space="preserve">both test tolerance and </w:t>
      </w:r>
      <w:r w:rsidR="00861F4D">
        <w:rPr>
          <w:sz w:val="20"/>
          <w:szCs w:val="20"/>
        </w:rPr>
        <w:t>measurement uncertainty will be derived per power class; and while performance requirements are the same</w:t>
      </w:r>
      <w:r w:rsidR="006811CC">
        <w:rPr>
          <w:sz w:val="20"/>
          <w:szCs w:val="20"/>
        </w:rPr>
        <w:t xml:space="preserve"> in each power class</w:t>
      </w:r>
      <w:r w:rsidR="00861F4D">
        <w:rPr>
          <w:sz w:val="20"/>
          <w:szCs w:val="20"/>
        </w:rPr>
        <w:t>, the size of the UE types can be significantly different and this will impact the testing methodology</w:t>
      </w:r>
      <w:r w:rsidR="003226DB">
        <w:rPr>
          <w:sz w:val="20"/>
          <w:szCs w:val="20"/>
        </w:rPr>
        <w:t xml:space="preserve"> and quiet zone </w:t>
      </w:r>
      <w:r w:rsidR="004C6318">
        <w:rPr>
          <w:sz w:val="20"/>
          <w:szCs w:val="20"/>
        </w:rPr>
        <w:t xml:space="preserve">(QZ) </w:t>
      </w:r>
      <w:r w:rsidR="003226DB">
        <w:rPr>
          <w:sz w:val="20"/>
          <w:szCs w:val="20"/>
        </w:rPr>
        <w:t>size</w:t>
      </w:r>
      <w:r w:rsidR="00861F4D">
        <w:rPr>
          <w:sz w:val="20"/>
          <w:szCs w:val="20"/>
        </w:rPr>
        <w:t>.</w:t>
      </w:r>
    </w:p>
    <w:p w:rsidR="00861F4D" w:rsidRDefault="00861F4D" w:rsidP="00AF1FAB">
      <w:pPr>
        <w:jc w:val="both"/>
        <w:rPr>
          <w:sz w:val="20"/>
          <w:szCs w:val="20"/>
        </w:rPr>
      </w:pPr>
    </w:p>
    <w:p w:rsidR="006811CC" w:rsidRDefault="006811CC" w:rsidP="00AF1FAB">
      <w:pPr>
        <w:jc w:val="both"/>
        <w:rPr>
          <w:sz w:val="20"/>
          <w:szCs w:val="20"/>
        </w:rPr>
      </w:pPr>
      <w:r w:rsidRPr="00844CF4">
        <w:rPr>
          <w:b/>
          <w:sz w:val="20"/>
          <w:szCs w:val="20"/>
        </w:rPr>
        <w:t xml:space="preserve">Observation </w:t>
      </w:r>
      <w:r>
        <w:rPr>
          <w:b/>
          <w:sz w:val="20"/>
          <w:szCs w:val="20"/>
        </w:rPr>
        <w:t>2</w:t>
      </w:r>
      <w:r w:rsidRPr="00844CF4">
        <w:rPr>
          <w:b/>
          <w:sz w:val="20"/>
          <w:szCs w:val="20"/>
        </w:rPr>
        <w:t>:</w:t>
      </w:r>
      <w:r>
        <w:rPr>
          <w:sz w:val="20"/>
          <w:szCs w:val="20"/>
        </w:rPr>
        <w:t xml:space="preserve"> For conformance testing, a manufacturer declaration of the UE’s power class will be needed. </w:t>
      </w:r>
    </w:p>
    <w:p w:rsidR="006811CC" w:rsidRDefault="006811CC" w:rsidP="00AF1FAB">
      <w:pPr>
        <w:jc w:val="both"/>
        <w:rPr>
          <w:sz w:val="20"/>
          <w:szCs w:val="20"/>
        </w:rPr>
      </w:pPr>
    </w:p>
    <w:p w:rsidR="00861F4D" w:rsidRDefault="00861F4D" w:rsidP="00AF1FAB">
      <w:pPr>
        <w:jc w:val="both"/>
        <w:rPr>
          <w:sz w:val="20"/>
          <w:szCs w:val="20"/>
        </w:rPr>
      </w:pPr>
      <w:r w:rsidRPr="00844CF4">
        <w:rPr>
          <w:b/>
          <w:sz w:val="20"/>
          <w:szCs w:val="20"/>
        </w:rPr>
        <w:t xml:space="preserve">Observation </w:t>
      </w:r>
      <w:r w:rsidR="006811CC">
        <w:rPr>
          <w:b/>
          <w:sz w:val="20"/>
          <w:szCs w:val="20"/>
        </w:rPr>
        <w:t>3</w:t>
      </w:r>
      <w:r w:rsidRPr="00844CF4">
        <w:rPr>
          <w:b/>
          <w:sz w:val="20"/>
          <w:szCs w:val="20"/>
        </w:rPr>
        <w:t>:</w:t>
      </w:r>
      <w:r>
        <w:rPr>
          <w:sz w:val="20"/>
          <w:szCs w:val="20"/>
        </w:rPr>
        <w:t xml:space="preserve"> The size of a UE impacts the testing methodology</w:t>
      </w:r>
      <w:r w:rsidR="003226DB">
        <w:rPr>
          <w:sz w:val="20"/>
          <w:szCs w:val="20"/>
        </w:rPr>
        <w:t xml:space="preserve"> and </w:t>
      </w:r>
      <w:r w:rsidR="004C6318">
        <w:rPr>
          <w:sz w:val="20"/>
          <w:szCs w:val="20"/>
        </w:rPr>
        <w:t>QZ</w:t>
      </w:r>
      <w:r w:rsidR="003226DB">
        <w:rPr>
          <w:sz w:val="20"/>
          <w:szCs w:val="20"/>
        </w:rPr>
        <w:t xml:space="preserve"> size</w:t>
      </w:r>
      <w:r>
        <w:rPr>
          <w:sz w:val="20"/>
          <w:szCs w:val="20"/>
        </w:rPr>
        <w:t xml:space="preserve">, therefore there are testability considerations we should further </w:t>
      </w:r>
      <w:r w:rsidR="00872A28">
        <w:rPr>
          <w:sz w:val="20"/>
          <w:szCs w:val="20"/>
        </w:rPr>
        <w:t>discuss</w:t>
      </w:r>
      <w:r>
        <w:rPr>
          <w:sz w:val="20"/>
          <w:szCs w:val="20"/>
        </w:rPr>
        <w:t>.</w:t>
      </w:r>
    </w:p>
    <w:p w:rsidR="00861F4D" w:rsidRDefault="00861F4D" w:rsidP="00AF1FAB">
      <w:pPr>
        <w:jc w:val="both"/>
        <w:rPr>
          <w:sz w:val="20"/>
          <w:szCs w:val="20"/>
        </w:rPr>
      </w:pPr>
    </w:p>
    <w:p w:rsidR="0039636F" w:rsidRDefault="0039636F" w:rsidP="00AF1FAB">
      <w:pPr>
        <w:jc w:val="both"/>
        <w:rPr>
          <w:sz w:val="20"/>
          <w:szCs w:val="20"/>
        </w:rPr>
      </w:pPr>
      <w:r>
        <w:rPr>
          <w:sz w:val="20"/>
          <w:szCs w:val="20"/>
        </w:rPr>
        <w:t>Test tolerances</w:t>
      </w:r>
      <w:r w:rsidR="006811CC" w:rsidRPr="006811CC">
        <w:rPr>
          <w:sz w:val="20"/>
          <w:szCs w:val="20"/>
        </w:rPr>
        <w:t xml:space="preserve"> and </w:t>
      </w:r>
      <w:r>
        <w:rPr>
          <w:sz w:val="20"/>
          <w:szCs w:val="20"/>
        </w:rPr>
        <w:t>measurement uncertainties</w:t>
      </w:r>
      <w:r w:rsidR="006811CC" w:rsidRPr="006811CC">
        <w:rPr>
          <w:sz w:val="20"/>
          <w:szCs w:val="20"/>
        </w:rPr>
        <w:t xml:space="preserve"> </w:t>
      </w:r>
      <w:r>
        <w:rPr>
          <w:sz w:val="20"/>
          <w:szCs w:val="20"/>
        </w:rPr>
        <w:t>are</w:t>
      </w:r>
      <w:r w:rsidR="006811CC" w:rsidRPr="006811CC">
        <w:rPr>
          <w:sz w:val="20"/>
          <w:szCs w:val="20"/>
        </w:rPr>
        <w:t xml:space="preserve"> der</w:t>
      </w:r>
      <w:r>
        <w:rPr>
          <w:sz w:val="20"/>
          <w:szCs w:val="20"/>
        </w:rPr>
        <w:t>ived using two DUT sizes</w:t>
      </w:r>
      <w:r w:rsidR="006811CC" w:rsidRPr="006811CC">
        <w:rPr>
          <w:sz w:val="20"/>
          <w:szCs w:val="20"/>
        </w:rPr>
        <w:t>: DUT ≤ 15cm, and DUT ≤ 30cm</w:t>
      </w:r>
      <w:r w:rsidR="00385235">
        <w:rPr>
          <w:sz w:val="20"/>
          <w:szCs w:val="20"/>
        </w:rPr>
        <w:t xml:space="preserve"> [10</w:t>
      </w:r>
      <w:r w:rsidR="006811CC">
        <w:rPr>
          <w:sz w:val="20"/>
          <w:szCs w:val="20"/>
        </w:rPr>
        <w:t>]</w:t>
      </w:r>
      <w:r w:rsidR="006811CC" w:rsidRPr="006811CC">
        <w:rPr>
          <w:sz w:val="20"/>
          <w:szCs w:val="20"/>
        </w:rPr>
        <w:t xml:space="preserve">. </w:t>
      </w:r>
      <w:r w:rsidR="006811CC">
        <w:rPr>
          <w:sz w:val="20"/>
          <w:szCs w:val="20"/>
        </w:rPr>
        <w:t>While these dimensions make sense for smaller devices (smart phones and tablets)</w:t>
      </w:r>
      <w:r w:rsidR="006811CC" w:rsidRPr="006811CC">
        <w:rPr>
          <w:sz w:val="20"/>
          <w:szCs w:val="20"/>
        </w:rPr>
        <w:t xml:space="preserve">, </w:t>
      </w:r>
      <w:r w:rsidR="006811CC">
        <w:rPr>
          <w:sz w:val="20"/>
          <w:szCs w:val="20"/>
        </w:rPr>
        <w:t>they preclude larger potential UE types</w:t>
      </w:r>
      <w:r w:rsidR="006811CC" w:rsidRPr="006811CC">
        <w:rPr>
          <w:sz w:val="20"/>
          <w:szCs w:val="20"/>
        </w:rPr>
        <w:t xml:space="preserve"> </w:t>
      </w:r>
      <w:r w:rsidR="006811CC">
        <w:rPr>
          <w:sz w:val="20"/>
          <w:szCs w:val="20"/>
        </w:rPr>
        <w:t xml:space="preserve">like </w:t>
      </w:r>
      <w:r w:rsidR="006811CC" w:rsidRPr="006811CC">
        <w:rPr>
          <w:sz w:val="20"/>
          <w:szCs w:val="20"/>
        </w:rPr>
        <w:t>laptops</w:t>
      </w:r>
      <w:r>
        <w:rPr>
          <w:sz w:val="20"/>
          <w:szCs w:val="20"/>
        </w:rPr>
        <w:t xml:space="preserve">. It is worth noting that </w:t>
      </w:r>
      <w:r w:rsidR="007B2E24">
        <w:rPr>
          <w:sz w:val="20"/>
          <w:szCs w:val="20"/>
        </w:rPr>
        <w:t xml:space="preserve">laptops are listed in the UE types within scope of </w:t>
      </w:r>
      <w:r>
        <w:rPr>
          <w:sz w:val="20"/>
          <w:szCs w:val="20"/>
        </w:rPr>
        <w:t>the NR Stud</w:t>
      </w:r>
      <w:r w:rsidR="00385235">
        <w:rPr>
          <w:sz w:val="20"/>
          <w:szCs w:val="20"/>
        </w:rPr>
        <w:t>y on test methods [7</w:t>
      </w:r>
      <w:r>
        <w:rPr>
          <w:sz w:val="20"/>
          <w:szCs w:val="20"/>
        </w:rPr>
        <w:t>]</w:t>
      </w:r>
      <w:r w:rsidR="00BF21F4">
        <w:rPr>
          <w:sz w:val="20"/>
          <w:szCs w:val="20"/>
        </w:rPr>
        <w:t>; and that other potentially large UE types are not precluded</w:t>
      </w:r>
      <w:r w:rsidR="0030519D">
        <w:rPr>
          <w:sz w:val="20"/>
          <w:szCs w:val="20"/>
        </w:rPr>
        <w:t xml:space="preserve"> in the study</w:t>
      </w:r>
      <w:r>
        <w:rPr>
          <w:sz w:val="20"/>
          <w:szCs w:val="20"/>
        </w:rPr>
        <w:t>.</w:t>
      </w:r>
    </w:p>
    <w:p w:rsidR="0039636F" w:rsidRDefault="0039636F" w:rsidP="00AF1FAB">
      <w:pPr>
        <w:jc w:val="both"/>
        <w:rPr>
          <w:sz w:val="20"/>
          <w:szCs w:val="20"/>
        </w:rPr>
      </w:pPr>
    </w:p>
    <w:p w:rsidR="0039636F" w:rsidRDefault="0039636F" w:rsidP="00AF1FAB">
      <w:pPr>
        <w:jc w:val="both"/>
        <w:rPr>
          <w:sz w:val="20"/>
          <w:szCs w:val="20"/>
        </w:rPr>
      </w:pPr>
      <w:r w:rsidRPr="00844CF4">
        <w:rPr>
          <w:b/>
          <w:sz w:val="20"/>
          <w:szCs w:val="20"/>
        </w:rPr>
        <w:t xml:space="preserve">Observation </w:t>
      </w:r>
      <w:r>
        <w:rPr>
          <w:b/>
          <w:sz w:val="20"/>
          <w:szCs w:val="20"/>
        </w:rPr>
        <w:t>4</w:t>
      </w:r>
      <w:r w:rsidRPr="00844CF4">
        <w:rPr>
          <w:b/>
          <w:sz w:val="20"/>
          <w:szCs w:val="20"/>
        </w:rPr>
        <w:t>:</w:t>
      </w:r>
      <w:r>
        <w:rPr>
          <w:sz w:val="20"/>
          <w:szCs w:val="20"/>
        </w:rPr>
        <w:t xml:space="preserve"> Laptops </w:t>
      </w:r>
      <w:r w:rsidR="00BF21F4">
        <w:rPr>
          <w:sz w:val="20"/>
          <w:szCs w:val="20"/>
        </w:rPr>
        <w:t xml:space="preserve">and larger devices </w:t>
      </w:r>
      <w:r>
        <w:rPr>
          <w:sz w:val="20"/>
          <w:szCs w:val="20"/>
        </w:rPr>
        <w:t>are within the scope of the NR study on test methods, and thus should not be precluded by an insufficiently large DUT size.</w:t>
      </w:r>
    </w:p>
    <w:p w:rsidR="0039636F" w:rsidRDefault="0039636F" w:rsidP="00AF1FAB">
      <w:pPr>
        <w:jc w:val="both"/>
        <w:rPr>
          <w:sz w:val="20"/>
          <w:szCs w:val="20"/>
        </w:rPr>
      </w:pPr>
    </w:p>
    <w:p w:rsidR="004C6318" w:rsidRDefault="004C6318" w:rsidP="00AF1FAB">
      <w:pPr>
        <w:jc w:val="both"/>
        <w:rPr>
          <w:sz w:val="20"/>
          <w:szCs w:val="20"/>
        </w:rPr>
      </w:pPr>
      <w:r>
        <w:rPr>
          <w:sz w:val="20"/>
          <w:szCs w:val="20"/>
        </w:rPr>
        <w:t xml:space="preserve">Details of the </w:t>
      </w:r>
      <w:r w:rsidR="007B2E24">
        <w:rPr>
          <w:sz w:val="20"/>
          <w:szCs w:val="20"/>
        </w:rPr>
        <w:t>DUT and quiet zone sizes</w:t>
      </w:r>
      <w:r w:rsidR="00385235">
        <w:rPr>
          <w:sz w:val="20"/>
          <w:szCs w:val="20"/>
        </w:rPr>
        <w:t xml:space="preserve"> for smartphones and tablets </w:t>
      </w:r>
      <w:r>
        <w:rPr>
          <w:sz w:val="20"/>
          <w:szCs w:val="20"/>
        </w:rPr>
        <w:t xml:space="preserve">are found in Appendix D of TR38.810 </w:t>
      </w:r>
      <w:r w:rsidR="00385235">
        <w:rPr>
          <w:sz w:val="20"/>
          <w:szCs w:val="20"/>
        </w:rPr>
        <w:t>[7</w:t>
      </w:r>
      <w:r w:rsidR="007B2E24">
        <w:rPr>
          <w:sz w:val="20"/>
          <w:szCs w:val="20"/>
        </w:rPr>
        <w:t xml:space="preserve">]. </w:t>
      </w:r>
      <w:r>
        <w:rPr>
          <w:sz w:val="20"/>
          <w:szCs w:val="20"/>
        </w:rPr>
        <w:t>A</w:t>
      </w:r>
      <w:r w:rsidR="00BF21F4">
        <w:rPr>
          <w:sz w:val="20"/>
          <w:szCs w:val="20"/>
        </w:rPr>
        <w:t xml:space="preserve">s captured below, </w:t>
      </w:r>
      <w:r>
        <w:rPr>
          <w:sz w:val="20"/>
          <w:szCs w:val="20"/>
        </w:rPr>
        <w:t xml:space="preserve">the section also </w:t>
      </w:r>
      <w:r w:rsidR="007B2E24">
        <w:rPr>
          <w:sz w:val="20"/>
          <w:szCs w:val="20"/>
        </w:rPr>
        <w:t xml:space="preserve">states that alternate quiet zone sizes can be defined for larger DUTs. </w:t>
      </w:r>
      <w:r>
        <w:rPr>
          <w:sz w:val="20"/>
          <w:szCs w:val="20"/>
        </w:rPr>
        <w:t xml:space="preserve">In fact, </w:t>
      </w:r>
      <w:r w:rsidR="0021157F">
        <w:rPr>
          <w:sz w:val="20"/>
          <w:szCs w:val="20"/>
        </w:rPr>
        <w:t>during</w:t>
      </w:r>
      <w:r>
        <w:rPr>
          <w:sz w:val="20"/>
          <w:szCs w:val="20"/>
        </w:rPr>
        <w:t xml:space="preserve"> RAN4 #91 a larger QZ of 30cm was approved [11</w:t>
      </w:r>
      <w:proofErr w:type="gramStart"/>
      <w:r>
        <w:rPr>
          <w:sz w:val="20"/>
          <w:szCs w:val="20"/>
        </w:rPr>
        <w:t>,12</w:t>
      </w:r>
      <w:proofErr w:type="gramEnd"/>
      <w:r>
        <w:rPr>
          <w:sz w:val="20"/>
          <w:szCs w:val="20"/>
        </w:rPr>
        <w:t xml:space="preserve">]. </w:t>
      </w:r>
    </w:p>
    <w:p w:rsidR="0021157F" w:rsidRDefault="0021157F" w:rsidP="00861F4D">
      <w:pPr>
        <w:rPr>
          <w:sz w:val="20"/>
          <w:szCs w:val="20"/>
        </w:rPr>
      </w:pPr>
    </w:p>
    <w:p w:rsidR="003226DB" w:rsidRDefault="003226DB" w:rsidP="00861F4D">
      <w:pPr>
        <w:rPr>
          <w:sz w:val="20"/>
          <w:szCs w:val="20"/>
          <w:highlight w:val="yellow"/>
        </w:rPr>
      </w:pPr>
      <w:r>
        <w:rPr>
          <w:noProof/>
        </w:rPr>
        <mc:AlternateContent>
          <mc:Choice Requires="wps">
            <w:drawing>
              <wp:inline distT="0" distB="0" distL="0" distR="0" wp14:anchorId="25764AC5" wp14:editId="461F1D71">
                <wp:extent cx="6120765" cy="1463040"/>
                <wp:effectExtent l="0" t="0" r="26035" b="22860"/>
                <wp:docPr id="6" name="Text Box 6"/>
                <wp:cNvGraphicFramePr/>
                <a:graphic xmlns:a="http://schemas.openxmlformats.org/drawingml/2006/main">
                  <a:graphicData uri="http://schemas.microsoft.com/office/word/2010/wordprocessingShape">
                    <wps:wsp>
                      <wps:cNvSpPr txBox="1"/>
                      <wps:spPr>
                        <a:xfrm>
                          <a:off x="0" y="0"/>
                          <a:ext cx="6120765" cy="1463040"/>
                        </a:xfrm>
                        <a:prstGeom prst="rect">
                          <a:avLst/>
                        </a:prstGeom>
                        <a:noFill/>
                        <a:ln w="6350">
                          <a:solidFill>
                            <a:prstClr val="black"/>
                          </a:solidFill>
                        </a:ln>
                      </wps:spPr>
                      <wps:txbx>
                        <w:txbxContent>
                          <w:p w:rsidR="00614129" w:rsidRPr="007745CB" w:rsidRDefault="00614129" w:rsidP="0021157F">
                            <w:pPr>
                              <w:pStyle w:val="Heading2"/>
                              <w:numPr>
                                <w:ilvl w:val="0"/>
                                <w:numId w:val="0"/>
                              </w:numPr>
                              <w:spacing w:before="40"/>
                              <w:ind w:left="562" w:hanging="562"/>
                              <w:jc w:val="left"/>
                              <w:rPr>
                                <w:szCs w:val="28"/>
                              </w:rPr>
                            </w:pPr>
                            <w:bookmarkStart w:id="0" w:name="_Toc13051420"/>
                            <w:r w:rsidRPr="007745CB">
                              <w:rPr>
                                <w:szCs w:val="28"/>
                              </w:rPr>
                              <w:t>D.2.4</w:t>
                            </w:r>
                            <w:r w:rsidRPr="007745CB">
                              <w:rPr>
                                <w:szCs w:val="28"/>
                              </w:rPr>
                              <w:tab/>
                              <w:t>Size of the quiet zone</w:t>
                            </w:r>
                            <w:bookmarkEnd w:id="0"/>
                          </w:p>
                          <w:p w:rsidR="00614129" w:rsidRPr="007745CB" w:rsidRDefault="00614129" w:rsidP="003226DB">
                            <w:pPr>
                              <w:rPr>
                                <w:sz w:val="18"/>
                                <w:szCs w:val="20"/>
                              </w:rPr>
                            </w:pPr>
                            <w:r w:rsidRPr="007745CB">
                              <w:rPr>
                                <w:sz w:val="18"/>
                                <w:szCs w:val="20"/>
                              </w:rPr>
                              <w:t xml:space="preserve">The size of the quiet zone within which the variations of measurements are evaluated depends on the size of the DUT. For smartphones, the quiet zone shall be considered a sphere with radius of R=7.5cm. . For larger smartphones and tablet type devices, the quiet zone shall be considered a sphere with radius of R=15cm. </w:t>
                            </w:r>
                            <w:r w:rsidRPr="00DA1D2C">
                              <w:rPr>
                                <w:color w:val="FF0000"/>
                                <w:sz w:val="18"/>
                                <w:szCs w:val="20"/>
                                <w:highlight w:val="yellow"/>
                              </w:rPr>
                              <w:t>Alternate quiet zone sizes can be defined for even larger DUTs.</w:t>
                            </w:r>
                          </w:p>
                          <w:p w:rsidR="00614129" w:rsidRPr="007745CB" w:rsidRDefault="00614129" w:rsidP="003226DB">
                            <w:pPr>
                              <w:rPr>
                                <w:sz w:val="18"/>
                                <w:szCs w:val="20"/>
                              </w:rPr>
                            </w:pPr>
                          </w:p>
                          <w:p w:rsidR="00614129" w:rsidRPr="007745CB" w:rsidRDefault="00614129" w:rsidP="006811CC">
                            <w:pPr>
                              <w:rPr>
                                <w:sz w:val="18"/>
                                <w:szCs w:val="20"/>
                              </w:rPr>
                            </w:pPr>
                            <w:r w:rsidRPr="007745CB">
                              <w:rPr>
                                <w:sz w:val="18"/>
                                <w:szCs w:val="20"/>
                              </w:rPr>
                              <w:t>The quality of quiet zone procedure for systems supporting larger quiet zone sizes can be performed for the largest quiet zone radius only and the results can be applied to the smaller quiet zone radius. Performing separate sets of quality of quiet zone measurements for different radii is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5764AC5" id="Text Box 6" o:spid="_x0000_s1028" type="#_x0000_t202" style="width:481.95pt;height:115.2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" filled="f" strokeweight=".5pt">
                <v:textbox>
                  <w:txbxContent>
                    <w:p w:rsidR="00614129" w:rsidRPr="007745CB" w:rsidRDefault="00614129" w:rsidP="0021157F">
                      <w:pPr>
                        <w:pStyle w:val="Heading2"/>
                        <w:numPr>
                          <w:ilvl w:val="0"/>
                          <w:numId w:val="0"/>
                        </w:numPr>
                        <w:spacing w:before="40"/>
                        <w:ind w:left="562" w:hanging="562"/>
                        <w:jc w:val="left"/>
                        <w:rPr>
                          <w:szCs w:val="28"/>
                        </w:rPr>
                      </w:pPr>
                      <w:bookmarkStart w:id="1" w:name="_Toc13051420"/>
                      <w:r w:rsidRPr="007745CB">
                        <w:rPr>
                          <w:szCs w:val="28"/>
                        </w:rPr>
                        <w:t>D.2.4</w:t>
                      </w:r>
                      <w:r w:rsidRPr="007745CB">
                        <w:rPr>
                          <w:szCs w:val="28"/>
                        </w:rPr>
                        <w:tab/>
                        <w:t>Size of the quiet zone</w:t>
                      </w:r>
                      <w:bookmarkEnd w:id="1"/>
                    </w:p>
                    <w:p w:rsidR="00614129" w:rsidRPr="007745CB" w:rsidRDefault="00614129" w:rsidP="003226DB">
                      <w:pPr>
                        <w:rPr>
                          <w:sz w:val="18"/>
                          <w:szCs w:val="20"/>
                        </w:rPr>
                      </w:pPr>
                      <w:r w:rsidRPr="007745CB">
                        <w:rPr>
                          <w:sz w:val="18"/>
                          <w:szCs w:val="20"/>
                        </w:rPr>
                        <w:t xml:space="preserve">The size of the quiet zone within which the variations of measurements are evaluated depends on the size of the DUT. For smartphones, the quiet zone shall be considered a sphere with radius of R=7.5cm. . For larger smartphones and tablet type devices, the quiet zone shall be considered a sphere with radius of R=15cm. </w:t>
                      </w:r>
                      <w:r w:rsidRPr="00DA1D2C">
                        <w:rPr>
                          <w:color w:val="FF0000"/>
                          <w:sz w:val="18"/>
                          <w:szCs w:val="20"/>
                          <w:highlight w:val="yellow"/>
                        </w:rPr>
                        <w:t>Alternate quiet zone sizes can be defined for even larger DUTs.</w:t>
                      </w:r>
                    </w:p>
                    <w:p w:rsidR="00614129" w:rsidRPr="007745CB" w:rsidRDefault="00614129" w:rsidP="003226DB">
                      <w:pPr>
                        <w:rPr>
                          <w:sz w:val="18"/>
                          <w:szCs w:val="20"/>
                        </w:rPr>
                      </w:pPr>
                    </w:p>
                    <w:p w:rsidR="00614129" w:rsidRPr="007745CB" w:rsidRDefault="00614129" w:rsidP="006811CC">
                      <w:pPr>
                        <w:rPr>
                          <w:sz w:val="18"/>
                          <w:szCs w:val="20"/>
                        </w:rPr>
                      </w:pPr>
                      <w:r w:rsidRPr="007745CB">
                        <w:rPr>
                          <w:sz w:val="18"/>
                          <w:szCs w:val="20"/>
                        </w:rPr>
                        <w:t>The quality of quiet zone procedure for systems supporting larger quiet zone sizes can be performed for the largest quiet zone radius only and the results can be applied to the smaller quiet zone radius. Performing separate sets of quality of quiet zone measurements for different radii is not precluded.</w:t>
                      </w:r>
                    </w:p>
                  </w:txbxContent>
                </v:textbox>
                <w10:anchorlock/>
              </v:shape>
            </w:pict>
          </mc:Fallback>
        </mc:AlternateContent>
      </w:r>
    </w:p>
    <w:p w:rsidR="00872A28" w:rsidRDefault="00872A28" w:rsidP="00861F4D">
      <w:pPr>
        <w:rPr>
          <w:sz w:val="20"/>
          <w:szCs w:val="20"/>
          <w:highlight w:val="yellow"/>
        </w:rPr>
      </w:pPr>
    </w:p>
    <w:p w:rsidR="0021157F" w:rsidRPr="004C6318" w:rsidRDefault="0021157F" w:rsidP="00AF1FAB">
      <w:pPr>
        <w:jc w:val="both"/>
        <w:rPr>
          <w:sz w:val="20"/>
          <w:szCs w:val="20"/>
        </w:rPr>
      </w:pPr>
      <w:r>
        <w:rPr>
          <w:sz w:val="20"/>
          <w:szCs w:val="20"/>
        </w:rPr>
        <w:t xml:space="preserve">However, to </w:t>
      </w:r>
      <w:r w:rsidR="000E4774">
        <w:rPr>
          <w:sz w:val="20"/>
          <w:szCs w:val="20"/>
        </w:rPr>
        <w:t>avoid</w:t>
      </w:r>
      <w:r>
        <w:rPr>
          <w:sz w:val="20"/>
          <w:szCs w:val="20"/>
        </w:rPr>
        <w:t xml:space="preserve"> preclud</w:t>
      </w:r>
      <w:r w:rsidR="000E4774">
        <w:rPr>
          <w:sz w:val="20"/>
          <w:szCs w:val="20"/>
        </w:rPr>
        <w:t>ing</w:t>
      </w:r>
      <w:r>
        <w:rPr>
          <w:sz w:val="20"/>
          <w:szCs w:val="20"/>
        </w:rPr>
        <w:t xml:space="preserve"> larger UE types such as laptops, we should consider increasing the size beyond 30cm. Of course, this larger quiet zone requires discussion of feasible sizes and potential issues. Future FR2 testability RAN4 work can focus on assess</w:t>
      </w:r>
      <w:r>
        <w:rPr>
          <w:sz w:val="20"/>
          <w:szCs w:val="20"/>
        </w:rPr>
        <w:t>ing</w:t>
      </w:r>
      <w:r>
        <w:rPr>
          <w:sz w:val="20"/>
          <w:szCs w:val="20"/>
        </w:rPr>
        <w:t xml:space="preserve"> whether the quality of a larger QZ will be significantly degraded. </w:t>
      </w:r>
      <w:r w:rsidR="000E4774">
        <w:rPr>
          <w:sz w:val="20"/>
          <w:szCs w:val="20"/>
        </w:rPr>
        <w:t xml:space="preserve">Considering this </w:t>
      </w:r>
      <w:r w:rsidR="00DC3469">
        <w:rPr>
          <w:sz w:val="20"/>
          <w:szCs w:val="20"/>
        </w:rPr>
        <w:t>will likely</w:t>
      </w:r>
      <w:r w:rsidR="000E4774">
        <w:rPr>
          <w:sz w:val="20"/>
          <w:szCs w:val="20"/>
        </w:rPr>
        <w:t xml:space="preserve"> impact RAN5 work, </w:t>
      </w:r>
      <w:r w:rsidR="00DC3469">
        <w:rPr>
          <w:sz w:val="20"/>
          <w:szCs w:val="20"/>
        </w:rPr>
        <w:t xml:space="preserve">RAN4 should </w:t>
      </w:r>
      <w:r w:rsidR="000E4774">
        <w:rPr>
          <w:sz w:val="20"/>
          <w:szCs w:val="20"/>
        </w:rPr>
        <w:t>inform them of the importance of extending this work to larger UE types</w:t>
      </w:r>
      <w:r w:rsidR="00DC3469">
        <w:rPr>
          <w:sz w:val="20"/>
          <w:szCs w:val="20"/>
        </w:rPr>
        <w:t xml:space="preserve"> and the eventual outcome of our discussions.</w:t>
      </w:r>
    </w:p>
    <w:p w:rsidR="0021157F" w:rsidRDefault="0021157F" w:rsidP="00AF1FAB">
      <w:pPr>
        <w:jc w:val="both"/>
        <w:rPr>
          <w:sz w:val="20"/>
          <w:szCs w:val="20"/>
        </w:rPr>
      </w:pPr>
    </w:p>
    <w:p w:rsidR="004C6318" w:rsidRDefault="004C6318" w:rsidP="00AF1FAB">
      <w:pPr>
        <w:jc w:val="both"/>
        <w:rPr>
          <w:sz w:val="20"/>
          <w:szCs w:val="20"/>
        </w:rPr>
      </w:pPr>
      <w:r>
        <w:rPr>
          <w:b/>
          <w:sz w:val="20"/>
          <w:szCs w:val="20"/>
        </w:rPr>
        <w:t>Observation 5:</w:t>
      </w:r>
      <w:r>
        <w:rPr>
          <w:sz w:val="20"/>
          <w:szCs w:val="20"/>
        </w:rPr>
        <w:t xml:space="preserve"> Since a power class can have multiple UE types with different sizes, increasing the quiet zone size can help ensure we do not preclude larger UE types</w:t>
      </w:r>
      <w:r w:rsidR="00DC3469">
        <w:rPr>
          <w:sz w:val="20"/>
          <w:szCs w:val="20"/>
        </w:rPr>
        <w:t>.</w:t>
      </w:r>
    </w:p>
    <w:p w:rsidR="00685ECB" w:rsidRPr="00AF1FAB" w:rsidRDefault="00125D93" w:rsidP="00861F4D">
      <w:pPr>
        <w:rPr>
          <w:sz w:val="20"/>
          <w:szCs w:val="20"/>
        </w:rPr>
      </w:pPr>
      <w:r w:rsidRPr="00AF1FAB">
        <w:rPr>
          <w:b/>
          <w:sz w:val="20"/>
          <w:szCs w:val="20"/>
        </w:rPr>
        <w:lastRenderedPageBreak/>
        <w:t>Proposal 1:</w:t>
      </w:r>
      <w:r w:rsidR="004C6318" w:rsidRPr="00AF1FAB">
        <w:rPr>
          <w:sz w:val="20"/>
          <w:szCs w:val="20"/>
        </w:rPr>
        <w:t xml:space="preserve"> RAN4 should </w:t>
      </w:r>
      <w:r w:rsidR="00DC3469" w:rsidRPr="00AF1FAB">
        <w:rPr>
          <w:sz w:val="20"/>
          <w:szCs w:val="20"/>
        </w:rPr>
        <w:t>have future FR2 testability</w:t>
      </w:r>
      <w:r w:rsidR="004C6318" w:rsidRPr="00AF1FAB">
        <w:rPr>
          <w:sz w:val="20"/>
          <w:szCs w:val="20"/>
        </w:rPr>
        <w:t xml:space="preserve"> </w:t>
      </w:r>
      <w:r w:rsidR="00DC3469" w:rsidRPr="00AF1FAB">
        <w:rPr>
          <w:sz w:val="20"/>
          <w:szCs w:val="20"/>
        </w:rPr>
        <w:t xml:space="preserve">work whose objective is to discuss the feasibility of a larger QZ, any potential issues with implementing this larger QZ, and assessing if the QZ is significantly degraded. Both the importance of this study and the outcome of the discussions </w:t>
      </w:r>
      <w:r w:rsidR="00AF1FAB" w:rsidRPr="00AF1FAB">
        <w:rPr>
          <w:sz w:val="20"/>
          <w:szCs w:val="20"/>
        </w:rPr>
        <w:t>will</w:t>
      </w:r>
      <w:r w:rsidR="00DC3469" w:rsidRPr="00AF1FAB">
        <w:rPr>
          <w:sz w:val="20"/>
          <w:szCs w:val="20"/>
        </w:rPr>
        <w:t xml:space="preserve"> be informed to RAN5.</w:t>
      </w:r>
    </w:p>
    <w:p w:rsidR="00021B8B" w:rsidRPr="00CA7BFA" w:rsidRDefault="00021B8B" w:rsidP="000B5EAC">
      <w:pPr>
        <w:pStyle w:val="Heading1"/>
        <w:spacing w:before="320" w:after="140"/>
        <w:ind w:left="562" w:hanging="562"/>
        <w:rPr>
          <w:lang w:val="en-US"/>
        </w:rPr>
      </w:pPr>
      <w:r w:rsidRPr="00CA7BFA">
        <w:rPr>
          <w:lang w:val="en-US"/>
        </w:rPr>
        <w:t>Conclusions</w:t>
      </w:r>
    </w:p>
    <w:p w:rsidR="00021B8B" w:rsidRPr="008B61BA" w:rsidRDefault="003226DB" w:rsidP="00AF1FAB">
      <w:pPr>
        <w:jc w:val="both"/>
        <w:rPr>
          <w:sz w:val="20"/>
          <w:szCs w:val="20"/>
        </w:rPr>
      </w:pPr>
      <w:r>
        <w:rPr>
          <w:sz w:val="20"/>
          <w:szCs w:val="20"/>
        </w:rPr>
        <w:t xml:space="preserve">This paper </w:t>
      </w:r>
      <w:r w:rsidR="002E124D">
        <w:rPr>
          <w:sz w:val="20"/>
          <w:szCs w:val="20"/>
        </w:rPr>
        <w:t xml:space="preserve">highlighted important </w:t>
      </w:r>
      <w:r>
        <w:rPr>
          <w:sz w:val="20"/>
          <w:szCs w:val="20"/>
        </w:rPr>
        <w:t>testability considerations for</w:t>
      </w:r>
      <w:r w:rsidR="002E124D">
        <w:rPr>
          <w:sz w:val="20"/>
          <w:szCs w:val="20"/>
        </w:rPr>
        <w:t xml:space="preserve"> </w:t>
      </w:r>
      <w:r>
        <w:rPr>
          <w:sz w:val="20"/>
          <w:szCs w:val="20"/>
        </w:rPr>
        <w:t xml:space="preserve">FR2 </w:t>
      </w:r>
      <w:r w:rsidR="00CA7BFA">
        <w:rPr>
          <w:sz w:val="20"/>
          <w:szCs w:val="20"/>
        </w:rPr>
        <w:t>UE types</w:t>
      </w:r>
      <w:r w:rsidR="002E124D">
        <w:rPr>
          <w:sz w:val="20"/>
          <w:szCs w:val="20"/>
        </w:rPr>
        <w:t xml:space="preserve"> that should </w:t>
      </w:r>
      <w:r w:rsidR="00AF1FAB">
        <w:rPr>
          <w:sz w:val="20"/>
          <w:szCs w:val="20"/>
        </w:rPr>
        <w:t xml:space="preserve">be </w:t>
      </w:r>
      <w:r w:rsidR="002E124D">
        <w:rPr>
          <w:sz w:val="20"/>
          <w:szCs w:val="20"/>
        </w:rPr>
        <w:t>further stud</w:t>
      </w:r>
      <w:r w:rsidR="00AF1FAB">
        <w:rPr>
          <w:sz w:val="20"/>
          <w:szCs w:val="20"/>
        </w:rPr>
        <w:t>ied</w:t>
      </w:r>
      <w:r w:rsidR="002E124D">
        <w:rPr>
          <w:sz w:val="20"/>
          <w:szCs w:val="20"/>
        </w:rPr>
        <w:t>.</w:t>
      </w:r>
      <w:r w:rsidR="00021B8B">
        <w:rPr>
          <w:sz w:val="20"/>
          <w:szCs w:val="20"/>
        </w:rPr>
        <w:t xml:space="preserve"> The </w:t>
      </w:r>
      <w:r w:rsidR="00021B8B" w:rsidRPr="008B61BA">
        <w:rPr>
          <w:sz w:val="20"/>
          <w:szCs w:val="20"/>
        </w:rPr>
        <w:t xml:space="preserve">following observations and proposals </w:t>
      </w:r>
      <w:r w:rsidR="00021B8B">
        <w:rPr>
          <w:sz w:val="20"/>
          <w:szCs w:val="20"/>
        </w:rPr>
        <w:t xml:space="preserve">were </w:t>
      </w:r>
      <w:r w:rsidR="00021B8B" w:rsidRPr="008B61BA">
        <w:rPr>
          <w:sz w:val="20"/>
          <w:szCs w:val="20"/>
        </w:rPr>
        <w:t>made:</w:t>
      </w:r>
    </w:p>
    <w:p w:rsidR="00021B8B" w:rsidRPr="008B61BA" w:rsidRDefault="00021B8B" w:rsidP="00AF1FAB">
      <w:pPr>
        <w:jc w:val="both"/>
        <w:rPr>
          <w:sz w:val="20"/>
          <w:szCs w:val="20"/>
        </w:rPr>
      </w:pPr>
    </w:p>
    <w:p w:rsidR="00DC3469" w:rsidRPr="00AF1FAB" w:rsidRDefault="00DC3469" w:rsidP="00AF1FAB">
      <w:pPr>
        <w:jc w:val="both"/>
        <w:rPr>
          <w:sz w:val="20"/>
          <w:szCs w:val="20"/>
        </w:rPr>
      </w:pPr>
      <w:r>
        <w:rPr>
          <w:b/>
          <w:sz w:val="20"/>
          <w:szCs w:val="20"/>
        </w:rPr>
        <w:t>Observation 1</w:t>
      </w:r>
      <w:r w:rsidRPr="00844CF4">
        <w:rPr>
          <w:b/>
          <w:sz w:val="20"/>
          <w:szCs w:val="20"/>
        </w:rPr>
        <w:t>:</w:t>
      </w:r>
      <w:r w:rsidRPr="00021B8B">
        <w:rPr>
          <w:sz w:val="20"/>
          <w:szCs w:val="20"/>
        </w:rPr>
        <w:t xml:space="preserve"> </w:t>
      </w:r>
      <w:r>
        <w:rPr>
          <w:sz w:val="20"/>
          <w:szCs w:val="20"/>
        </w:rPr>
        <w:t xml:space="preserve">Power classes in FR2 were intended to be agnostic to UE type and common understanding is that </w:t>
      </w:r>
      <w:r w:rsidRPr="00AF1FAB">
        <w:rPr>
          <w:sz w:val="20"/>
          <w:szCs w:val="20"/>
        </w:rPr>
        <w:t>several UE types can operate under the same power class, as long as they can meet its requirements.</w:t>
      </w:r>
    </w:p>
    <w:p w:rsidR="00DB3B57" w:rsidRPr="00AF1FAB" w:rsidRDefault="00DB3B57" w:rsidP="00AF1FAB">
      <w:pPr>
        <w:jc w:val="both"/>
        <w:rPr>
          <w:sz w:val="20"/>
          <w:szCs w:val="20"/>
        </w:rPr>
      </w:pPr>
    </w:p>
    <w:p w:rsidR="00DC3469" w:rsidRPr="00AF1FAB" w:rsidRDefault="00DC3469" w:rsidP="00AF1FAB">
      <w:pPr>
        <w:jc w:val="both"/>
        <w:rPr>
          <w:sz w:val="20"/>
          <w:szCs w:val="20"/>
        </w:rPr>
      </w:pPr>
      <w:r w:rsidRPr="00AF1FAB">
        <w:rPr>
          <w:b/>
          <w:sz w:val="20"/>
          <w:szCs w:val="20"/>
        </w:rPr>
        <w:t>Observation 2:</w:t>
      </w:r>
      <w:r w:rsidRPr="00AF1FAB">
        <w:rPr>
          <w:sz w:val="20"/>
          <w:szCs w:val="20"/>
        </w:rPr>
        <w:t xml:space="preserve"> For conformance testing, a manufacturer declaration of the UE’s power class will be needed. </w:t>
      </w:r>
    </w:p>
    <w:p w:rsidR="00DC3469" w:rsidRPr="00AF1FAB" w:rsidRDefault="00DC3469" w:rsidP="00AF1FAB">
      <w:pPr>
        <w:jc w:val="both"/>
        <w:rPr>
          <w:sz w:val="20"/>
          <w:szCs w:val="20"/>
        </w:rPr>
      </w:pPr>
    </w:p>
    <w:p w:rsidR="00DB3B57" w:rsidRPr="00AF1FAB" w:rsidRDefault="00DC3469" w:rsidP="00AF1FAB">
      <w:pPr>
        <w:jc w:val="both"/>
        <w:rPr>
          <w:sz w:val="20"/>
          <w:szCs w:val="20"/>
        </w:rPr>
      </w:pPr>
      <w:r w:rsidRPr="00AF1FAB">
        <w:rPr>
          <w:b/>
          <w:sz w:val="20"/>
          <w:szCs w:val="20"/>
        </w:rPr>
        <w:t>Observation 3:</w:t>
      </w:r>
      <w:r w:rsidRPr="00AF1FAB">
        <w:rPr>
          <w:sz w:val="20"/>
          <w:szCs w:val="20"/>
        </w:rPr>
        <w:t xml:space="preserve"> The size of a UE impacts the testing methodology and QZ size, therefore there are testability considerations we should further discuss.</w:t>
      </w:r>
    </w:p>
    <w:p w:rsidR="00DC3469" w:rsidRPr="00AF1FAB" w:rsidRDefault="00DC3469" w:rsidP="00AF1FAB">
      <w:pPr>
        <w:jc w:val="both"/>
        <w:rPr>
          <w:sz w:val="20"/>
          <w:szCs w:val="20"/>
        </w:rPr>
      </w:pPr>
    </w:p>
    <w:p w:rsidR="00DC3469" w:rsidRPr="00AF1FAB" w:rsidRDefault="00DC3469" w:rsidP="00AF1FAB">
      <w:pPr>
        <w:jc w:val="both"/>
        <w:rPr>
          <w:sz w:val="20"/>
          <w:szCs w:val="20"/>
        </w:rPr>
      </w:pPr>
      <w:r w:rsidRPr="00AF1FAB">
        <w:rPr>
          <w:b/>
          <w:sz w:val="20"/>
          <w:szCs w:val="20"/>
        </w:rPr>
        <w:t>Observation 4:</w:t>
      </w:r>
      <w:r w:rsidRPr="00AF1FAB">
        <w:rPr>
          <w:sz w:val="20"/>
          <w:szCs w:val="20"/>
        </w:rPr>
        <w:t xml:space="preserve"> Laptops and larger devices are within the scope of the NR study on test methods, and thus should not be precluded by an insufficiently large DUT size.</w:t>
      </w:r>
    </w:p>
    <w:p w:rsidR="00DC3469" w:rsidRPr="00AF1FAB" w:rsidRDefault="00DC3469" w:rsidP="00AF1FAB">
      <w:pPr>
        <w:jc w:val="both"/>
        <w:rPr>
          <w:sz w:val="20"/>
          <w:szCs w:val="20"/>
        </w:rPr>
      </w:pPr>
    </w:p>
    <w:p w:rsidR="00DC3469" w:rsidRPr="00AF1FAB" w:rsidRDefault="00DC3469" w:rsidP="00AF1FAB">
      <w:pPr>
        <w:jc w:val="both"/>
        <w:rPr>
          <w:sz w:val="20"/>
          <w:szCs w:val="20"/>
        </w:rPr>
      </w:pPr>
      <w:r w:rsidRPr="00AF1FAB">
        <w:rPr>
          <w:b/>
          <w:sz w:val="20"/>
          <w:szCs w:val="20"/>
        </w:rPr>
        <w:t>Observation 5:</w:t>
      </w:r>
      <w:r w:rsidRPr="00AF1FAB">
        <w:rPr>
          <w:sz w:val="20"/>
          <w:szCs w:val="20"/>
        </w:rPr>
        <w:t xml:space="preserve"> Since a power class can have multiple UE types with different sizes, increasing the quiet zone size can help ensure we do not preclude larger UE types.</w:t>
      </w:r>
    </w:p>
    <w:p w:rsidR="00DC3469" w:rsidRPr="00AF1FAB" w:rsidRDefault="00DC3469" w:rsidP="00AF1FAB">
      <w:pPr>
        <w:jc w:val="both"/>
        <w:rPr>
          <w:sz w:val="20"/>
          <w:szCs w:val="20"/>
        </w:rPr>
      </w:pPr>
    </w:p>
    <w:p w:rsidR="00021B8B" w:rsidRPr="00AF1FAB" w:rsidRDefault="00DC3469" w:rsidP="00AF1FAB">
      <w:pPr>
        <w:jc w:val="both"/>
        <w:rPr>
          <w:rFonts w:eastAsia="SimSun"/>
        </w:rPr>
      </w:pPr>
      <w:r w:rsidRPr="00AF1FAB">
        <w:rPr>
          <w:b/>
          <w:sz w:val="20"/>
          <w:szCs w:val="20"/>
        </w:rPr>
        <w:t>Proposal 1:</w:t>
      </w:r>
      <w:r w:rsidRPr="00AF1FAB">
        <w:rPr>
          <w:sz w:val="20"/>
          <w:szCs w:val="20"/>
        </w:rPr>
        <w:t xml:space="preserve"> RAN4 should have future FR2 testability work whose objective is to discuss the feasibility of a larger QZ, assess if th</w:t>
      </w:r>
      <w:r w:rsidRPr="00AF1FAB">
        <w:rPr>
          <w:sz w:val="20"/>
          <w:szCs w:val="20"/>
        </w:rPr>
        <w:t>is</w:t>
      </w:r>
      <w:r w:rsidRPr="00AF1FAB">
        <w:rPr>
          <w:sz w:val="20"/>
          <w:szCs w:val="20"/>
        </w:rPr>
        <w:t xml:space="preserve"> QZ is significantly degraded</w:t>
      </w:r>
      <w:r w:rsidRPr="00AF1FAB">
        <w:rPr>
          <w:sz w:val="20"/>
          <w:szCs w:val="20"/>
        </w:rPr>
        <w:t xml:space="preserve">, and summarize </w:t>
      </w:r>
      <w:r w:rsidRPr="00AF1FAB">
        <w:rPr>
          <w:sz w:val="20"/>
          <w:szCs w:val="20"/>
        </w:rPr>
        <w:t xml:space="preserve">any potential issues with </w:t>
      </w:r>
      <w:r w:rsidRPr="00AF1FAB">
        <w:rPr>
          <w:sz w:val="20"/>
          <w:szCs w:val="20"/>
        </w:rPr>
        <w:t xml:space="preserve">its </w:t>
      </w:r>
      <w:r w:rsidRPr="00AF1FAB">
        <w:rPr>
          <w:sz w:val="20"/>
          <w:szCs w:val="20"/>
        </w:rPr>
        <w:t>implement</w:t>
      </w:r>
      <w:r w:rsidRPr="00AF1FAB">
        <w:rPr>
          <w:sz w:val="20"/>
          <w:szCs w:val="20"/>
        </w:rPr>
        <w:t>ation</w:t>
      </w:r>
      <w:r w:rsidRPr="00AF1FAB">
        <w:rPr>
          <w:sz w:val="20"/>
          <w:szCs w:val="20"/>
        </w:rPr>
        <w:t xml:space="preserve">. Both the importance of this study and the outcome of the discussions </w:t>
      </w:r>
      <w:r w:rsidR="00AF1FAB" w:rsidRPr="00AF1FAB">
        <w:rPr>
          <w:sz w:val="20"/>
          <w:szCs w:val="20"/>
        </w:rPr>
        <w:t>will</w:t>
      </w:r>
      <w:r w:rsidRPr="00AF1FAB">
        <w:rPr>
          <w:sz w:val="20"/>
          <w:szCs w:val="20"/>
        </w:rPr>
        <w:t xml:space="preserve"> be informed to RAN5</w:t>
      </w:r>
      <w:r w:rsidR="00DB3B57" w:rsidRPr="00AF1FAB">
        <w:rPr>
          <w:sz w:val="20"/>
          <w:szCs w:val="20"/>
        </w:rPr>
        <w:t>.</w:t>
      </w:r>
    </w:p>
    <w:p w:rsidR="00021B8B" w:rsidRPr="00347B6A" w:rsidRDefault="00021B8B" w:rsidP="000B5EAC">
      <w:pPr>
        <w:pStyle w:val="Heading1"/>
        <w:spacing w:before="280" w:after="120"/>
        <w:ind w:left="562" w:hanging="562"/>
        <w:rPr>
          <w:lang w:val="en-US"/>
        </w:rPr>
      </w:pPr>
      <w:r w:rsidRPr="00347B6A">
        <w:rPr>
          <w:lang w:val="en-US"/>
        </w:rPr>
        <w:t>References</w:t>
      </w:r>
    </w:p>
    <w:p w:rsidR="00ED11E7" w:rsidRDefault="00ED11E7" w:rsidP="00021B8B">
      <w:pPr>
        <w:widowControl w:val="0"/>
        <w:numPr>
          <w:ilvl w:val="0"/>
          <w:numId w:val="2"/>
        </w:numPr>
        <w:rPr>
          <w:sz w:val="20"/>
          <w:szCs w:val="20"/>
        </w:rPr>
      </w:pPr>
      <w:r>
        <w:rPr>
          <w:sz w:val="20"/>
          <w:szCs w:val="20"/>
        </w:rPr>
        <w:t>R4-1801191,”WF on Fixed wireless access use case for FR2,” Intel, Verizon, RAN4 AH-1801, January 2018</w:t>
      </w:r>
    </w:p>
    <w:p w:rsidR="00ED11E7" w:rsidRDefault="00C132BF" w:rsidP="00021B8B">
      <w:pPr>
        <w:widowControl w:val="0"/>
        <w:numPr>
          <w:ilvl w:val="0"/>
          <w:numId w:val="2"/>
        </w:numPr>
        <w:rPr>
          <w:sz w:val="20"/>
          <w:szCs w:val="20"/>
        </w:rPr>
      </w:pPr>
      <w:r>
        <w:rPr>
          <w:sz w:val="20"/>
          <w:szCs w:val="20"/>
        </w:rPr>
        <w:t>R4-1805920, “WF on FR2 FWA related requirements,” Intel, Samsung, Verizon, LGE, RAN4 #86bis, April 2018</w:t>
      </w:r>
    </w:p>
    <w:p w:rsidR="00C132BF" w:rsidRDefault="00C132BF" w:rsidP="00021B8B">
      <w:pPr>
        <w:widowControl w:val="0"/>
        <w:numPr>
          <w:ilvl w:val="0"/>
          <w:numId w:val="2"/>
        </w:numPr>
        <w:rPr>
          <w:sz w:val="20"/>
          <w:szCs w:val="20"/>
        </w:rPr>
      </w:pPr>
      <w:r>
        <w:rPr>
          <w:sz w:val="20"/>
          <w:szCs w:val="20"/>
        </w:rPr>
        <w:t>R4-1808151, “WF for finalizing FWA requirements,” Samsung, Verizon, Intel, Qualcomm, RAN4 #87, May 2018</w:t>
      </w:r>
    </w:p>
    <w:p w:rsidR="00021B8B" w:rsidRDefault="00951093" w:rsidP="00021B8B">
      <w:pPr>
        <w:widowControl w:val="0"/>
        <w:numPr>
          <w:ilvl w:val="0"/>
          <w:numId w:val="2"/>
        </w:numPr>
        <w:rPr>
          <w:sz w:val="20"/>
          <w:szCs w:val="20"/>
        </w:rPr>
      </w:pPr>
      <w:r>
        <w:rPr>
          <w:sz w:val="20"/>
          <w:szCs w:val="20"/>
        </w:rPr>
        <w:t>R4-1805926, “</w:t>
      </w:r>
      <w:r w:rsidRPr="00DB3B57">
        <w:rPr>
          <w:sz w:val="19"/>
          <w:szCs w:val="19"/>
        </w:rPr>
        <w:t>WF on How to Distinguish UE Types in FR2,” Samsung, LGE, Intel, Verizon, RAN4 #86bis, April 2018</w:t>
      </w:r>
    </w:p>
    <w:p w:rsidR="00ED11E7" w:rsidRDefault="00ED11E7" w:rsidP="00ED11E7">
      <w:pPr>
        <w:widowControl w:val="0"/>
        <w:numPr>
          <w:ilvl w:val="0"/>
          <w:numId w:val="2"/>
        </w:numPr>
        <w:rPr>
          <w:sz w:val="20"/>
          <w:szCs w:val="20"/>
        </w:rPr>
      </w:pPr>
      <w:r>
        <w:rPr>
          <w:sz w:val="20"/>
          <w:szCs w:val="20"/>
        </w:rPr>
        <w:t xml:space="preserve">R4-1814150, “CR for the definition of </w:t>
      </w:r>
      <w:proofErr w:type="spellStart"/>
      <w:r>
        <w:rPr>
          <w:sz w:val="20"/>
          <w:szCs w:val="20"/>
        </w:rPr>
        <w:t>mmWave</w:t>
      </w:r>
      <w:proofErr w:type="spellEnd"/>
      <w:r>
        <w:rPr>
          <w:sz w:val="20"/>
          <w:szCs w:val="20"/>
        </w:rPr>
        <w:t xml:space="preserve"> power class,” Sumitomo Electric, RAN4 #88bis, October 2018</w:t>
      </w:r>
    </w:p>
    <w:p w:rsidR="005E2907" w:rsidRDefault="00B40D23" w:rsidP="00021B8B">
      <w:pPr>
        <w:widowControl w:val="0"/>
        <w:numPr>
          <w:ilvl w:val="0"/>
          <w:numId w:val="2"/>
        </w:numPr>
        <w:rPr>
          <w:sz w:val="20"/>
          <w:szCs w:val="20"/>
        </w:rPr>
      </w:pPr>
      <w:r>
        <w:rPr>
          <w:sz w:val="20"/>
          <w:szCs w:val="20"/>
        </w:rPr>
        <w:t>R4-1816633, “draft CR on UE type for Power Class 2 in FR2,”</w:t>
      </w:r>
      <w:r w:rsidR="00DB3B57">
        <w:rPr>
          <w:sz w:val="20"/>
          <w:szCs w:val="20"/>
        </w:rPr>
        <w:t xml:space="preserve"> </w:t>
      </w:r>
      <w:r>
        <w:rPr>
          <w:sz w:val="20"/>
          <w:szCs w:val="20"/>
        </w:rPr>
        <w:t>LGE, SK</w:t>
      </w:r>
      <w:r w:rsidR="00DB3B57">
        <w:rPr>
          <w:sz w:val="20"/>
          <w:szCs w:val="20"/>
        </w:rPr>
        <w:t>T</w:t>
      </w:r>
      <w:r>
        <w:rPr>
          <w:sz w:val="20"/>
          <w:szCs w:val="20"/>
        </w:rPr>
        <w:t xml:space="preserve">, KT, LG </w:t>
      </w:r>
      <w:proofErr w:type="spellStart"/>
      <w:r>
        <w:rPr>
          <w:sz w:val="20"/>
          <w:szCs w:val="20"/>
        </w:rPr>
        <w:t>Uplus</w:t>
      </w:r>
      <w:proofErr w:type="spellEnd"/>
      <w:r>
        <w:rPr>
          <w:sz w:val="20"/>
          <w:szCs w:val="20"/>
        </w:rPr>
        <w:t>, Sumitomo, Industries Ltd, Verizon, NXP, Apple, Samsung, RAN4 #89, November 2018</w:t>
      </w:r>
    </w:p>
    <w:p w:rsidR="00385235" w:rsidRDefault="00385235" w:rsidP="00021B8B">
      <w:pPr>
        <w:widowControl w:val="0"/>
        <w:numPr>
          <w:ilvl w:val="0"/>
          <w:numId w:val="2"/>
        </w:numPr>
        <w:rPr>
          <w:sz w:val="20"/>
          <w:szCs w:val="20"/>
        </w:rPr>
      </w:pPr>
      <w:bookmarkStart w:id="2" w:name="_GoBack"/>
      <w:bookmarkEnd w:id="2"/>
      <w:r>
        <w:rPr>
          <w:sz w:val="20"/>
          <w:szCs w:val="20"/>
        </w:rPr>
        <w:t>TR38.810, “NR; Study on test methods,” version 16.3.0, July 2019</w:t>
      </w:r>
    </w:p>
    <w:p w:rsidR="00FA6D59" w:rsidRDefault="00FA6D59" w:rsidP="00021B8B">
      <w:pPr>
        <w:widowControl w:val="0"/>
        <w:numPr>
          <w:ilvl w:val="0"/>
          <w:numId w:val="2"/>
        </w:numPr>
        <w:rPr>
          <w:sz w:val="20"/>
          <w:szCs w:val="20"/>
        </w:rPr>
      </w:pPr>
      <w:r>
        <w:rPr>
          <w:sz w:val="20"/>
          <w:szCs w:val="20"/>
        </w:rPr>
        <w:t>R4-1907177, “FR2 power classes and UE types,” Intel Corporation, RAN4 #91, May 2019</w:t>
      </w:r>
    </w:p>
    <w:p w:rsidR="005C368D" w:rsidRDefault="005C368D" w:rsidP="00021B8B">
      <w:pPr>
        <w:widowControl w:val="0"/>
        <w:numPr>
          <w:ilvl w:val="0"/>
          <w:numId w:val="2"/>
        </w:numPr>
        <w:rPr>
          <w:sz w:val="20"/>
          <w:szCs w:val="20"/>
        </w:rPr>
      </w:pPr>
      <w:r>
        <w:rPr>
          <w:sz w:val="20"/>
          <w:szCs w:val="20"/>
        </w:rPr>
        <w:t>R4-19</w:t>
      </w:r>
      <w:r w:rsidR="00C47884">
        <w:rPr>
          <w:sz w:val="20"/>
          <w:szCs w:val="20"/>
        </w:rPr>
        <w:t>x</w:t>
      </w:r>
      <w:r>
        <w:rPr>
          <w:sz w:val="20"/>
          <w:szCs w:val="20"/>
        </w:rPr>
        <w:t>xxxx, RAN4 #91 Meeting report, August 2019</w:t>
      </w:r>
    </w:p>
    <w:p w:rsidR="004F22C4" w:rsidRDefault="006811CC" w:rsidP="004F22C4">
      <w:pPr>
        <w:widowControl w:val="0"/>
        <w:numPr>
          <w:ilvl w:val="0"/>
          <w:numId w:val="2"/>
        </w:numPr>
        <w:rPr>
          <w:sz w:val="20"/>
          <w:szCs w:val="20"/>
        </w:rPr>
      </w:pPr>
      <w:r>
        <w:rPr>
          <w:sz w:val="20"/>
          <w:szCs w:val="20"/>
        </w:rPr>
        <w:t>TS38</w:t>
      </w:r>
      <w:r w:rsidR="00685ECB">
        <w:rPr>
          <w:sz w:val="20"/>
          <w:szCs w:val="20"/>
        </w:rPr>
        <w:t>.521-2, “NR; User Equipment (UE) conformance specification; Radio transmission and reception; Part 2: Range 2 standalone,” version 16.0.0, July 2019</w:t>
      </w:r>
    </w:p>
    <w:p w:rsidR="004C6318" w:rsidRDefault="004C6318" w:rsidP="004F22C4">
      <w:pPr>
        <w:widowControl w:val="0"/>
        <w:numPr>
          <w:ilvl w:val="0"/>
          <w:numId w:val="2"/>
        </w:numPr>
        <w:rPr>
          <w:sz w:val="20"/>
          <w:szCs w:val="20"/>
        </w:rPr>
      </w:pPr>
      <w:r>
        <w:rPr>
          <w:sz w:val="20"/>
          <w:szCs w:val="20"/>
        </w:rPr>
        <w:t xml:space="preserve">R4-1906823, “On 30cm Quiet Zone,” </w:t>
      </w:r>
      <w:proofErr w:type="spellStart"/>
      <w:r>
        <w:rPr>
          <w:sz w:val="20"/>
          <w:szCs w:val="20"/>
        </w:rPr>
        <w:t>Keysight</w:t>
      </w:r>
      <w:proofErr w:type="spellEnd"/>
      <w:r>
        <w:rPr>
          <w:sz w:val="20"/>
          <w:szCs w:val="20"/>
        </w:rPr>
        <w:t xml:space="preserve"> Technologies, RAN4 #91, May 2019</w:t>
      </w:r>
    </w:p>
    <w:p w:rsidR="004F22C4" w:rsidRPr="00DC3469" w:rsidRDefault="004C6318" w:rsidP="004F22C4">
      <w:pPr>
        <w:widowControl w:val="0"/>
        <w:numPr>
          <w:ilvl w:val="0"/>
          <w:numId w:val="2"/>
        </w:numPr>
        <w:rPr>
          <w:sz w:val="20"/>
          <w:szCs w:val="20"/>
        </w:rPr>
      </w:pPr>
      <w:r>
        <w:rPr>
          <w:sz w:val="20"/>
          <w:szCs w:val="20"/>
        </w:rPr>
        <w:t>R4-190</w:t>
      </w:r>
      <w:r w:rsidR="00266D8A">
        <w:rPr>
          <w:sz w:val="20"/>
          <w:szCs w:val="20"/>
        </w:rPr>
        <w:t>7828</w:t>
      </w:r>
      <w:r>
        <w:rPr>
          <w:sz w:val="20"/>
          <w:szCs w:val="20"/>
        </w:rPr>
        <w:t>, “</w:t>
      </w:r>
      <w:r w:rsidR="00266D8A">
        <w:rPr>
          <w:sz w:val="20"/>
          <w:szCs w:val="20"/>
        </w:rPr>
        <w:t>Draft CR for TR38.810: On 30cm QZ</w:t>
      </w:r>
      <w:r>
        <w:rPr>
          <w:sz w:val="20"/>
          <w:szCs w:val="20"/>
        </w:rPr>
        <w:t xml:space="preserve">,” </w:t>
      </w:r>
      <w:proofErr w:type="spellStart"/>
      <w:r>
        <w:rPr>
          <w:sz w:val="20"/>
          <w:szCs w:val="20"/>
        </w:rPr>
        <w:t>Keysight</w:t>
      </w:r>
      <w:proofErr w:type="spellEnd"/>
      <w:r>
        <w:rPr>
          <w:sz w:val="20"/>
          <w:szCs w:val="20"/>
        </w:rPr>
        <w:t xml:space="preserve"> Technologies, RAN4 #91, May 2019</w:t>
      </w:r>
    </w:p>
    <w:sectPr w:rsidR="004F22C4" w:rsidRPr="00DC3469" w:rsidSect="008D2E15">
      <w:headerReference w:type="even" r:id="rId8"/>
      <w:footerReference w:type="even" r:id="rId9"/>
      <w:footerReference w:type="default" r:id="rId10"/>
      <w:footnotePr>
        <w:numRestart w:val="eachSect"/>
      </w:footnotePr>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6AD7" w:rsidRDefault="00B56AD7">
      <w:r>
        <w:separator/>
      </w:r>
    </w:p>
  </w:endnote>
  <w:endnote w:type="continuationSeparator" w:id="0">
    <w:p w:rsidR="00B56AD7" w:rsidRDefault="00B56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129" w:rsidRDefault="00614129" w:rsidP="008D2E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14129" w:rsidRDefault="00614129" w:rsidP="008D2E1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129" w:rsidRPr="00DB1239" w:rsidRDefault="00614129" w:rsidP="008D2E15">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11644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644C">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6AD7" w:rsidRDefault="00B56AD7">
      <w:r>
        <w:separator/>
      </w:r>
    </w:p>
  </w:footnote>
  <w:footnote w:type="continuationSeparator" w:id="0">
    <w:p w:rsidR="00B56AD7" w:rsidRDefault="00B56A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129" w:rsidRDefault="0061412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2"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B8B"/>
    <w:rsid w:val="00021B8B"/>
    <w:rsid w:val="00025AE6"/>
    <w:rsid w:val="0005761A"/>
    <w:rsid w:val="000B5EAC"/>
    <w:rsid w:val="000D2F62"/>
    <w:rsid w:val="000E4774"/>
    <w:rsid w:val="000F34D1"/>
    <w:rsid w:val="0011644C"/>
    <w:rsid w:val="00125D93"/>
    <w:rsid w:val="0021157F"/>
    <w:rsid w:val="002629B5"/>
    <w:rsid w:val="00266D8A"/>
    <w:rsid w:val="002E124D"/>
    <w:rsid w:val="002F2135"/>
    <w:rsid w:val="002F44ED"/>
    <w:rsid w:val="002F7DA7"/>
    <w:rsid w:val="0030519D"/>
    <w:rsid w:val="003226DB"/>
    <w:rsid w:val="00347B6A"/>
    <w:rsid w:val="003607AD"/>
    <w:rsid w:val="00385235"/>
    <w:rsid w:val="0039636F"/>
    <w:rsid w:val="004101B0"/>
    <w:rsid w:val="004578DC"/>
    <w:rsid w:val="004A3EAA"/>
    <w:rsid w:val="004C6318"/>
    <w:rsid w:val="004F06E3"/>
    <w:rsid w:val="004F22C4"/>
    <w:rsid w:val="0051453B"/>
    <w:rsid w:val="00557D56"/>
    <w:rsid w:val="005C07E7"/>
    <w:rsid w:val="005C368D"/>
    <w:rsid w:val="005C5BFE"/>
    <w:rsid w:val="005E2907"/>
    <w:rsid w:val="00614129"/>
    <w:rsid w:val="006811CC"/>
    <w:rsid w:val="00685ECB"/>
    <w:rsid w:val="006C04A7"/>
    <w:rsid w:val="0071285D"/>
    <w:rsid w:val="00756545"/>
    <w:rsid w:val="007745CB"/>
    <w:rsid w:val="00783551"/>
    <w:rsid w:val="007B2E24"/>
    <w:rsid w:val="007E5C9D"/>
    <w:rsid w:val="00800603"/>
    <w:rsid w:val="00844CF4"/>
    <w:rsid w:val="00861F4D"/>
    <w:rsid w:val="0086531A"/>
    <w:rsid w:val="00872A28"/>
    <w:rsid w:val="008D2E15"/>
    <w:rsid w:val="00903265"/>
    <w:rsid w:val="00920086"/>
    <w:rsid w:val="009229CC"/>
    <w:rsid w:val="009437EE"/>
    <w:rsid w:val="00951093"/>
    <w:rsid w:val="00981757"/>
    <w:rsid w:val="00A36B36"/>
    <w:rsid w:val="00A8562A"/>
    <w:rsid w:val="00AC50BB"/>
    <w:rsid w:val="00AF1FAB"/>
    <w:rsid w:val="00B40D23"/>
    <w:rsid w:val="00B56AD7"/>
    <w:rsid w:val="00B67978"/>
    <w:rsid w:val="00BE0946"/>
    <w:rsid w:val="00BF21F4"/>
    <w:rsid w:val="00C132BF"/>
    <w:rsid w:val="00C47884"/>
    <w:rsid w:val="00CA7BFA"/>
    <w:rsid w:val="00CF6E82"/>
    <w:rsid w:val="00D06EAE"/>
    <w:rsid w:val="00DA1D2C"/>
    <w:rsid w:val="00DA45B8"/>
    <w:rsid w:val="00DB1840"/>
    <w:rsid w:val="00DB3B57"/>
    <w:rsid w:val="00DC3469"/>
    <w:rsid w:val="00DD5DAD"/>
    <w:rsid w:val="00DE4CF7"/>
    <w:rsid w:val="00DF5478"/>
    <w:rsid w:val="00E14DB3"/>
    <w:rsid w:val="00E60561"/>
    <w:rsid w:val="00E73AB5"/>
    <w:rsid w:val="00E77434"/>
    <w:rsid w:val="00ED11E7"/>
    <w:rsid w:val="00EF409D"/>
    <w:rsid w:val="00F4158D"/>
    <w:rsid w:val="00F735D5"/>
    <w:rsid w:val="00F81999"/>
    <w:rsid w:val="00F81AF1"/>
    <w:rsid w:val="00FA6D59"/>
    <w:rsid w:val="00FE1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B4CCF4-A5A9-4F80-A33A-8DD1DBB8F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1B8B"/>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021B8B"/>
    <w:pPr>
      <w:keepNext/>
      <w:keepLines/>
      <w:numPr>
        <w:numId w:val="1"/>
      </w:numPr>
      <w:pBdr>
        <w:top w:val="single" w:sz="12" w:space="3" w:color="auto"/>
      </w:pBdr>
      <w:overflowPunct w:val="0"/>
      <w:autoSpaceDE w:val="0"/>
      <w:autoSpaceDN w:val="0"/>
      <w:adjustRightInd w:val="0"/>
      <w:spacing w:before="360" w:after="180" w:line="240" w:lineRule="auto"/>
      <w:ind w:left="567" w:hanging="567"/>
      <w:jc w:val="both"/>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021B8B"/>
    <w:pPr>
      <w:numPr>
        <w:ilvl w:val="1"/>
      </w:numPr>
      <w:pBdr>
        <w:top w:val="none" w:sz="0" w:space="0" w:color="auto"/>
      </w:pBdr>
      <w:tabs>
        <w:tab w:val="num" w:pos="360"/>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021B8B"/>
    <w:pPr>
      <w:numPr>
        <w:ilvl w:val="2"/>
      </w:numPr>
      <w:tabs>
        <w:tab w:val="num" w:pos="360"/>
      </w:tabs>
      <w:spacing w:before="300"/>
      <w:outlineLvl w:val="2"/>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021B8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021B8B"/>
    <w:rPr>
      <w:rFonts w:ascii="Arial" w:eastAsia="Times New Roman" w:hAnsi="Arial" w:cs="Times New Roman"/>
      <w:sz w:val="24"/>
      <w:szCs w:val="20"/>
      <w:lang w:eastAsia="ja-JP" w:bidi="hi-IN"/>
    </w:rPr>
  </w:style>
  <w:style w:type="character" w:customStyle="1" w:styleId="Heading3Char">
    <w:name w:val="Heading 3 Char"/>
    <w:basedOn w:val="DefaultParagraphFont"/>
    <w:link w:val="Heading3"/>
    <w:rsid w:val="00021B8B"/>
    <w:rPr>
      <w:rFonts w:ascii="Arial" w:eastAsia="Times New Roman" w:hAnsi="Arial" w:cs="Times New Roman"/>
      <w:szCs w:val="20"/>
      <w:lang w:eastAsia="ja-JP" w:bidi="hi-IN"/>
    </w:rPr>
  </w:style>
  <w:style w:type="paragraph" w:styleId="Footer">
    <w:name w:val="footer"/>
    <w:basedOn w:val="Header"/>
    <w:link w:val="FooterChar"/>
    <w:uiPriority w:val="99"/>
    <w:rsid w:val="00021B8B"/>
    <w:pPr>
      <w:widowControl w:val="0"/>
      <w:tabs>
        <w:tab w:val="clear" w:pos="4680"/>
        <w:tab w:val="clear" w:pos="9360"/>
      </w:tabs>
      <w:overflowPunct w:val="0"/>
      <w:autoSpaceDE w:val="0"/>
      <w:autoSpaceDN w:val="0"/>
      <w:adjustRightInd w:val="0"/>
      <w:jc w:val="center"/>
      <w:textAlignment w:val="baseline"/>
    </w:pPr>
    <w:rPr>
      <w:rFonts w:ascii="Arial" w:eastAsia="SimSun" w:hAnsi="Arial"/>
      <w:b/>
      <w:i/>
      <w:noProof/>
      <w:sz w:val="18"/>
      <w:szCs w:val="20"/>
      <w:lang w:val="x-none" w:eastAsia="x-none"/>
    </w:rPr>
  </w:style>
  <w:style w:type="character" w:customStyle="1" w:styleId="FooterChar">
    <w:name w:val="Footer Char"/>
    <w:basedOn w:val="DefaultParagraphFont"/>
    <w:link w:val="Footer"/>
    <w:uiPriority w:val="99"/>
    <w:rsid w:val="00021B8B"/>
    <w:rPr>
      <w:rFonts w:ascii="Arial" w:eastAsia="SimSun" w:hAnsi="Arial" w:cs="Times New Roman"/>
      <w:b/>
      <w:i/>
      <w:noProof/>
      <w:sz w:val="18"/>
      <w:szCs w:val="20"/>
      <w:lang w:val="x-none" w:eastAsia="x-none"/>
    </w:rPr>
  </w:style>
  <w:style w:type="character" w:styleId="PageNumber">
    <w:name w:val="page number"/>
    <w:basedOn w:val="DefaultParagraphFont"/>
    <w:rsid w:val="00021B8B"/>
  </w:style>
  <w:style w:type="character" w:customStyle="1" w:styleId="Heading1Char1">
    <w:name w:val="Heading 1 Char1"/>
    <w:link w:val="Heading1"/>
    <w:rsid w:val="00021B8B"/>
    <w:rPr>
      <w:rFonts w:ascii="Arial" w:eastAsia="SimSun" w:hAnsi="Arial" w:cs="Times New Roman"/>
      <w:sz w:val="36"/>
      <w:szCs w:val="20"/>
      <w:lang w:val="en-GB"/>
    </w:rPr>
  </w:style>
  <w:style w:type="paragraph" w:styleId="Header">
    <w:name w:val="header"/>
    <w:basedOn w:val="Normal"/>
    <w:link w:val="HeaderChar"/>
    <w:uiPriority w:val="99"/>
    <w:semiHidden/>
    <w:unhideWhenUsed/>
    <w:rsid w:val="00021B8B"/>
    <w:pPr>
      <w:tabs>
        <w:tab w:val="center" w:pos="4680"/>
        <w:tab w:val="right" w:pos="9360"/>
      </w:tabs>
    </w:pPr>
  </w:style>
  <w:style w:type="character" w:customStyle="1" w:styleId="HeaderChar">
    <w:name w:val="Header Char"/>
    <w:basedOn w:val="DefaultParagraphFont"/>
    <w:link w:val="Header"/>
    <w:uiPriority w:val="99"/>
    <w:semiHidden/>
    <w:rsid w:val="00021B8B"/>
    <w:rPr>
      <w:rFonts w:ascii="Times New Roman" w:eastAsia="Times New Roman" w:hAnsi="Times New Roman" w:cs="Times New Roman"/>
      <w:sz w:val="24"/>
      <w:szCs w:val="24"/>
    </w:rPr>
  </w:style>
  <w:style w:type="paragraph" w:customStyle="1" w:styleId="TAH">
    <w:name w:val="TAH"/>
    <w:basedOn w:val="TAC"/>
    <w:link w:val="TAHCar"/>
    <w:qFormat/>
    <w:rsid w:val="00F81999"/>
    <w:rPr>
      <w:b/>
    </w:rPr>
  </w:style>
  <w:style w:type="paragraph" w:customStyle="1" w:styleId="TAC">
    <w:name w:val="TAC"/>
    <w:basedOn w:val="Normal"/>
    <w:link w:val="TACChar"/>
    <w:qFormat/>
    <w:rsid w:val="00F81999"/>
    <w:pPr>
      <w:keepNext/>
      <w:keepLines/>
      <w:jc w:val="center"/>
    </w:pPr>
    <w:rPr>
      <w:rFonts w:ascii="Arial" w:eastAsiaTheme="minorEastAsia" w:hAnsi="Arial"/>
      <w:sz w:val="18"/>
      <w:szCs w:val="20"/>
      <w:lang w:val="en-GB"/>
    </w:rPr>
  </w:style>
  <w:style w:type="paragraph" w:customStyle="1" w:styleId="TH">
    <w:name w:val="TH"/>
    <w:basedOn w:val="Normal"/>
    <w:link w:val="THChar"/>
    <w:qFormat/>
    <w:rsid w:val="00F81999"/>
    <w:pPr>
      <w:keepNext/>
      <w:keepLines/>
      <w:spacing w:before="60" w:after="180"/>
      <w:jc w:val="center"/>
    </w:pPr>
    <w:rPr>
      <w:rFonts w:ascii="Arial" w:eastAsiaTheme="minorEastAsia" w:hAnsi="Arial"/>
      <w:b/>
      <w:sz w:val="20"/>
      <w:szCs w:val="20"/>
      <w:lang w:val="en-GB"/>
    </w:rPr>
  </w:style>
  <w:style w:type="character" w:customStyle="1" w:styleId="TACChar">
    <w:name w:val="TAC Char"/>
    <w:link w:val="TAC"/>
    <w:qFormat/>
    <w:rsid w:val="00F81999"/>
    <w:rPr>
      <w:rFonts w:ascii="Arial" w:eastAsiaTheme="minorEastAsia" w:hAnsi="Arial" w:cs="Times New Roman"/>
      <w:sz w:val="18"/>
      <w:szCs w:val="20"/>
      <w:lang w:val="en-GB"/>
    </w:rPr>
  </w:style>
  <w:style w:type="character" w:customStyle="1" w:styleId="THChar">
    <w:name w:val="TH Char"/>
    <w:link w:val="TH"/>
    <w:rsid w:val="00F81999"/>
    <w:rPr>
      <w:rFonts w:ascii="Arial" w:eastAsiaTheme="minorEastAsia" w:hAnsi="Arial" w:cs="Times New Roman"/>
      <w:b/>
      <w:sz w:val="20"/>
      <w:szCs w:val="20"/>
      <w:lang w:val="en-GB"/>
    </w:rPr>
  </w:style>
  <w:style w:type="character" w:customStyle="1" w:styleId="TAHCar">
    <w:name w:val="TAH Car"/>
    <w:link w:val="TAH"/>
    <w:qFormat/>
    <w:rsid w:val="00F81999"/>
    <w:rPr>
      <w:rFonts w:ascii="Arial" w:eastAsiaTheme="minorEastAsia" w:hAnsi="Arial" w:cs="Times New Roman"/>
      <w:b/>
      <w:sz w:val="18"/>
      <w:szCs w:val="20"/>
      <w:lang w:val="en-GB"/>
    </w:rPr>
  </w:style>
  <w:style w:type="character" w:customStyle="1" w:styleId="msoins0">
    <w:name w:val="msoins0"/>
    <w:rsid w:val="00F81999"/>
  </w:style>
  <w:style w:type="paragraph" w:styleId="BalloonText">
    <w:name w:val="Balloon Text"/>
    <w:basedOn w:val="Normal"/>
    <w:link w:val="BalloonTextChar"/>
    <w:uiPriority w:val="99"/>
    <w:semiHidden/>
    <w:unhideWhenUsed/>
    <w:rsid w:val="00DB3B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3B57"/>
    <w:rPr>
      <w:rFonts w:ascii="Segoe UI" w:eastAsia="Times New Roman" w:hAnsi="Segoe UI" w:cs="Segoe UI"/>
      <w:sz w:val="18"/>
      <w:szCs w:val="18"/>
    </w:rPr>
  </w:style>
  <w:style w:type="character" w:styleId="Hyperlink">
    <w:name w:val="Hyperlink"/>
    <w:basedOn w:val="DefaultParagraphFont"/>
    <w:uiPriority w:val="99"/>
    <w:semiHidden/>
    <w:unhideWhenUsed/>
    <w:rsid w:val="006811CC"/>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227272">
      <w:bodyDiv w:val="1"/>
      <w:marLeft w:val="0"/>
      <w:marRight w:val="0"/>
      <w:marTop w:val="0"/>
      <w:marBottom w:val="0"/>
      <w:divBdr>
        <w:top w:val="none" w:sz="0" w:space="0" w:color="auto"/>
        <w:left w:val="none" w:sz="0" w:space="0" w:color="auto"/>
        <w:bottom w:val="none" w:sz="0" w:space="0" w:color="auto"/>
        <w:right w:val="none" w:sz="0" w:space="0" w:color="auto"/>
      </w:divBdr>
    </w:div>
    <w:div w:id="535657693">
      <w:bodyDiv w:val="1"/>
      <w:marLeft w:val="0"/>
      <w:marRight w:val="0"/>
      <w:marTop w:val="0"/>
      <w:marBottom w:val="0"/>
      <w:divBdr>
        <w:top w:val="none" w:sz="0" w:space="0" w:color="auto"/>
        <w:left w:val="none" w:sz="0" w:space="0" w:color="auto"/>
        <w:bottom w:val="none" w:sz="0" w:space="0" w:color="auto"/>
        <w:right w:val="none" w:sz="0" w:space="0" w:color="auto"/>
      </w:divBdr>
    </w:div>
    <w:div w:id="92773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1396</Words>
  <Characters>7090</Characters>
  <Application>Microsoft Office Word</Application>
  <DocSecurity>0</DocSecurity>
  <Lines>125</Lines>
  <Paragraphs>47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CTPClassification=CTP_NT</cp:keywords>
  <dc:description/>
  <cp:lastModifiedBy>Vera Lopez, Aida L</cp:lastModifiedBy>
  <cp:revision>6</cp:revision>
  <dcterms:created xsi:type="dcterms:W3CDTF">2019-08-16T20:49:00Z</dcterms:created>
  <dcterms:modified xsi:type="dcterms:W3CDTF">2019-08-16T20:57:00Z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69afc5e9-f002-40fe-a9ba-8b82934c7813</vt:lpwstr>
  </property>
  <property fmtid="{D5CDD505-2E9C-101B-9397-08002B2CF9AE}" pid="3" name="CTP_TimeStamp">
    <vt:lpwstr>2019-08-16 20:57:11Z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